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t xml:space="preserve">  </w:t>
      </w:r>
    </w:p>
    <w:p>
      <w:pPr>
        <w:spacing w:line="400" w:lineRule="exact"/>
        <w:jc w:val="center"/>
        <w:outlineLvl w:val="0"/>
        <w:rPr>
          <w:rFonts w:ascii="宋体"/>
          <w:b/>
          <w:szCs w:val="21"/>
        </w:rPr>
      </w:pPr>
      <w:r>
        <w:rPr>
          <w:rFonts w:ascii="宋体" w:hAnsi="宋体"/>
          <w:szCs w:val="21"/>
        </w:rPr>
        <w:t xml:space="preserve"> </w:t>
      </w:r>
    </w:p>
    <w:p>
      <w:pPr>
        <w:spacing w:line="400" w:lineRule="exact"/>
        <w:jc w:val="center"/>
        <w:outlineLvl w:val="0"/>
        <w:rPr>
          <w:rFonts w:ascii="宋体"/>
          <w:b/>
          <w:szCs w:val="21"/>
        </w:rPr>
      </w:pPr>
    </w:p>
    <w:p>
      <w:pPr>
        <w:spacing w:line="400" w:lineRule="exact"/>
        <w:jc w:val="center"/>
        <w:outlineLvl w:val="0"/>
        <w:rPr>
          <w:rFonts w:ascii="宋体"/>
          <w:b/>
          <w:szCs w:val="21"/>
        </w:rPr>
      </w:pPr>
    </w:p>
    <w:p>
      <w:pPr>
        <w:spacing w:line="360" w:lineRule="auto"/>
        <w:jc w:val="center"/>
        <w:outlineLvl w:val="0"/>
        <w:rPr>
          <w:rFonts w:hint="eastAsia" w:ascii="宋体" w:hAnsi="宋体" w:eastAsia="宋体" w:cs="宋体"/>
          <w:b/>
          <w:sz w:val="52"/>
          <w:szCs w:val="52"/>
        </w:rPr>
      </w:pPr>
      <w:r>
        <w:rPr>
          <w:rFonts w:hint="eastAsia" w:ascii="宋体" w:hAnsi="宋体" w:eastAsia="宋体" w:cs="宋体"/>
          <w:b/>
          <w:sz w:val="52"/>
          <w:szCs w:val="52"/>
        </w:rPr>
        <w:t>推荐性国家标准</w:t>
      </w:r>
    </w:p>
    <w:p>
      <w:pPr>
        <w:spacing w:line="360" w:lineRule="auto"/>
        <w:jc w:val="center"/>
        <w:outlineLvl w:val="0"/>
        <w:rPr>
          <w:rFonts w:hint="eastAsia" w:ascii="宋体" w:hAnsi="宋体" w:eastAsia="宋体" w:cs="宋体"/>
          <w:b/>
          <w:sz w:val="44"/>
          <w:szCs w:val="44"/>
        </w:rPr>
      </w:pPr>
      <w:r>
        <w:rPr>
          <w:rFonts w:hint="eastAsia" w:ascii="宋体" w:hAnsi="宋体" w:eastAsia="宋体" w:cs="宋体"/>
          <w:b/>
          <w:sz w:val="44"/>
          <w:szCs w:val="44"/>
        </w:rPr>
        <w:t>《群青》编制说明</w:t>
      </w:r>
    </w:p>
    <w:p>
      <w:pPr>
        <w:spacing w:line="360" w:lineRule="auto"/>
        <w:jc w:val="center"/>
        <w:outlineLvl w:val="0"/>
        <w:rPr>
          <w:rFonts w:hint="eastAsia" w:ascii="宋体" w:hAnsi="宋体" w:eastAsia="宋体" w:cs="宋体"/>
          <w:sz w:val="44"/>
          <w:szCs w:val="44"/>
        </w:rPr>
      </w:pPr>
    </w:p>
    <w:p>
      <w:pPr>
        <w:pStyle w:val="6"/>
        <w:spacing w:line="360" w:lineRule="auto"/>
        <w:ind w:left="0" w:leftChars="0"/>
        <w:jc w:val="center"/>
        <w:rPr>
          <w:rFonts w:hint="eastAsia" w:ascii="宋体" w:hAnsi="宋体" w:eastAsia="宋体" w:cs="宋体"/>
          <w:sz w:val="44"/>
          <w:szCs w:val="44"/>
        </w:rPr>
      </w:pPr>
      <w:r>
        <w:rPr>
          <w:rFonts w:hint="eastAsia" w:ascii="宋体" w:hAnsi="宋体" w:eastAsia="宋体" w:cs="宋体"/>
          <w:b/>
          <w:sz w:val="44"/>
          <w:szCs w:val="44"/>
        </w:rPr>
        <w:t>(征求意见稿)</w:t>
      </w:r>
    </w:p>
    <w:p>
      <w:pPr>
        <w:pStyle w:val="6"/>
        <w:spacing w:line="360" w:lineRule="auto"/>
        <w:ind w:left="0" w:leftChars="0"/>
        <w:rPr>
          <w:rFonts w:hint="eastAsia" w:ascii="宋体" w:hAnsi="宋体" w:eastAsia="宋体" w:cs="宋体"/>
          <w:sz w:val="44"/>
          <w:szCs w:val="44"/>
        </w:rPr>
      </w:pPr>
    </w:p>
    <w:p>
      <w:pPr>
        <w:pStyle w:val="6"/>
        <w:spacing w:line="360" w:lineRule="auto"/>
        <w:ind w:left="0" w:leftChars="0"/>
        <w:rPr>
          <w:rFonts w:hint="eastAsia" w:ascii="宋体" w:hAnsi="宋体" w:eastAsia="宋体" w:cs="宋体"/>
          <w:sz w:val="36"/>
          <w:szCs w:val="36"/>
        </w:rPr>
      </w:pPr>
    </w:p>
    <w:p>
      <w:pPr>
        <w:pStyle w:val="6"/>
        <w:spacing w:line="400" w:lineRule="exact"/>
        <w:ind w:left="0" w:leftChars="0"/>
        <w:rPr>
          <w:rFonts w:ascii="宋体"/>
          <w:sz w:val="28"/>
          <w:szCs w:val="28"/>
        </w:rPr>
      </w:pPr>
    </w:p>
    <w:p>
      <w:pPr>
        <w:pStyle w:val="6"/>
        <w:spacing w:line="400" w:lineRule="exact"/>
        <w:ind w:left="0" w:leftChars="0"/>
        <w:rPr>
          <w:rFonts w:ascii="宋体"/>
          <w:sz w:val="28"/>
          <w:szCs w:val="28"/>
        </w:rPr>
      </w:pPr>
    </w:p>
    <w:p>
      <w:pPr>
        <w:spacing w:line="400" w:lineRule="exact"/>
        <w:rPr>
          <w:rFonts w:ascii="宋体"/>
          <w:sz w:val="28"/>
          <w:szCs w:val="28"/>
        </w:rPr>
      </w:pPr>
    </w:p>
    <w:p>
      <w:pPr>
        <w:spacing w:line="400" w:lineRule="exact"/>
        <w:rPr>
          <w:rFonts w:ascii="宋体"/>
          <w:sz w:val="28"/>
          <w:szCs w:val="28"/>
        </w:rPr>
      </w:pPr>
    </w:p>
    <w:p>
      <w:pPr>
        <w:spacing w:line="400" w:lineRule="exact"/>
        <w:rPr>
          <w:rFonts w:ascii="宋体"/>
          <w:sz w:val="28"/>
          <w:szCs w:val="28"/>
        </w:rPr>
      </w:pPr>
    </w:p>
    <w:p>
      <w:pPr>
        <w:pStyle w:val="2"/>
        <w:rPr>
          <w:rFonts w:ascii="宋体"/>
          <w:sz w:val="28"/>
          <w:szCs w:val="28"/>
        </w:rPr>
      </w:pPr>
    </w:p>
    <w:p>
      <w:pPr>
        <w:pStyle w:val="2"/>
        <w:rPr>
          <w:rFonts w:ascii="宋体"/>
          <w:sz w:val="28"/>
          <w:szCs w:val="28"/>
        </w:rPr>
      </w:pPr>
    </w:p>
    <w:p>
      <w:pPr>
        <w:pStyle w:val="2"/>
        <w:rPr>
          <w:rFonts w:ascii="宋体"/>
          <w:sz w:val="28"/>
          <w:szCs w:val="28"/>
        </w:rPr>
      </w:pPr>
    </w:p>
    <w:p>
      <w:pPr>
        <w:spacing w:line="400" w:lineRule="exact"/>
        <w:rPr>
          <w:rFonts w:ascii="宋体"/>
          <w:sz w:val="28"/>
          <w:szCs w:val="28"/>
        </w:rPr>
      </w:pPr>
    </w:p>
    <w:p>
      <w:pPr>
        <w:pStyle w:val="2"/>
        <w:rPr>
          <w:rFonts w:ascii="宋体"/>
          <w:sz w:val="28"/>
          <w:szCs w:val="28"/>
        </w:rPr>
      </w:pPr>
    </w:p>
    <w:p>
      <w:pPr>
        <w:spacing w:line="360" w:lineRule="auto"/>
        <w:jc w:val="center"/>
        <w:rPr>
          <w:rFonts w:ascii="宋体"/>
          <w:b/>
          <w:bCs/>
          <w:sz w:val="44"/>
          <w:szCs w:val="44"/>
        </w:rPr>
      </w:pPr>
      <w:r>
        <w:rPr>
          <w:rFonts w:hint="eastAsia" w:ascii="宋体" w:hAnsi="宋体"/>
          <w:b/>
          <w:sz w:val="44"/>
          <w:szCs w:val="44"/>
        </w:rPr>
        <w:t>山东省产品质量检验研究院</w:t>
      </w:r>
    </w:p>
    <w:p>
      <w:pPr>
        <w:spacing w:line="360" w:lineRule="auto"/>
        <w:jc w:val="center"/>
        <w:rPr>
          <w:rFonts w:hint="eastAsia" w:ascii="宋体" w:hAnsi="宋体"/>
          <w:b/>
          <w:bCs/>
          <w:sz w:val="44"/>
          <w:szCs w:val="44"/>
        </w:rPr>
      </w:pPr>
      <w:r>
        <w:rPr>
          <w:rFonts w:hint="eastAsia" w:ascii="宋体" w:hAnsi="宋体"/>
          <w:b/>
          <w:bCs/>
          <w:sz w:val="44"/>
          <w:szCs w:val="44"/>
        </w:rPr>
        <w:t>二〇一七年</w:t>
      </w:r>
      <w:r>
        <w:rPr>
          <w:rFonts w:hint="eastAsia" w:ascii="宋体" w:hAnsi="宋体"/>
          <w:b/>
          <w:bCs/>
          <w:sz w:val="44"/>
          <w:szCs w:val="44"/>
          <w:lang w:eastAsia="zh-CN"/>
        </w:rPr>
        <w:t>五</w:t>
      </w:r>
      <w:r>
        <w:rPr>
          <w:rFonts w:hint="eastAsia" w:ascii="宋体" w:hAnsi="宋体"/>
          <w:b/>
          <w:bCs/>
          <w:sz w:val="44"/>
          <w:szCs w:val="44"/>
        </w:rPr>
        <w:t>月</w:t>
      </w:r>
    </w:p>
    <w:p>
      <w:pPr>
        <w:pStyle w:val="2"/>
      </w:pPr>
    </w:p>
    <w:p>
      <w:pPr>
        <w:pStyle w:val="3"/>
      </w:pPr>
      <w:r>
        <w:rPr>
          <w:kern w:val="2"/>
        </w:rPr>
        <w:t>1</w:t>
      </w:r>
      <w:r>
        <w:t xml:space="preserve"> </w:t>
      </w:r>
      <w:r>
        <w:rPr>
          <w:rFonts w:hint="eastAsia"/>
        </w:rPr>
        <w:t>工作简况</w:t>
      </w:r>
    </w:p>
    <w:p>
      <w:pPr>
        <w:pStyle w:val="4"/>
      </w:pPr>
      <w:r>
        <w:t xml:space="preserve">1.1 </w:t>
      </w:r>
      <w:r>
        <w:rPr>
          <w:rFonts w:hint="eastAsia"/>
        </w:rPr>
        <w:t>任务来源</w:t>
      </w:r>
    </w:p>
    <w:p>
      <w:pPr>
        <w:pStyle w:val="2"/>
        <w:ind w:firstLine="480"/>
        <w:jc w:val="left"/>
        <w:rPr>
          <w:color w:val="auto"/>
        </w:rPr>
      </w:pPr>
      <w:r>
        <w:rPr>
          <w:rFonts w:hint="eastAsia"/>
        </w:rPr>
        <w:t>群青是一种性能优良的蓝色无机颜料，与其他颜料相比，群青的色相更纯净、艳丽，其他任何颜料都不可替代或拼配。早期的群青产品主要由青金石矿物研磨加工或从矿物中提取。十八世纪初</w:t>
      </w:r>
      <w:r>
        <w:rPr>
          <w:rFonts w:hint="eastAsia"/>
          <w:color w:val="auto"/>
        </w:rPr>
        <w:t>期，欧美国家相继研制了合成群青，合成群青是钠、铝和硫的硅酸盐，具有类似沸石的晶型结构。由于其性能优良，目前合成群青已完全代替天然群青，成为市场上最受欢迎的环保颜料之一。同时群青早已应用到生活的方方面面，如洗涤用品、涂料、油墨、橡胶、塑料、美术用颜料等领域的提白或着色。此外合成群青因其固有的安全、无毒等特点被广泛应用于化妆品、儿童玩具等特殊领域。</w:t>
      </w:r>
    </w:p>
    <w:p>
      <w:pPr>
        <w:pStyle w:val="2"/>
        <w:ind w:firstLine="480"/>
        <w:jc w:val="left"/>
      </w:pPr>
      <w:r>
        <w:rPr>
          <w:rFonts w:hint="eastAsia"/>
          <w:color w:val="auto"/>
        </w:rPr>
        <w:t>近年来，我国相继颁布了洗涤剂、涂料、化妆品、玩具等产品的国家标准，然而作为以上产品的原料</w:t>
      </w:r>
      <w:r>
        <w:rPr>
          <w:rFonts w:hint="eastAsia"/>
          <w:color w:val="auto"/>
          <w:lang w:eastAsia="zh-CN"/>
        </w:rPr>
        <w:t>之一</w:t>
      </w:r>
      <w:r>
        <w:rPr>
          <w:rFonts w:hint="eastAsia"/>
          <w:color w:val="auto"/>
        </w:rPr>
        <w:t>，群青还没有统一的国家标准或行业标准，对一些关乎健康安全的重要参数，如游离硫含量、有害元素含量，各企业标准要求良莠不齐、高低各异。一些企业为了一己私利，采用低价劣质原材料，对游离硫、有害元素等指标要求视而不见；更有甚</w:t>
      </w:r>
      <w:r>
        <w:rPr>
          <w:rFonts w:hint="eastAsia"/>
        </w:rPr>
        <w:t>者为提高着色力，在群青颜料中添加有机着色物，最终影响塑料模具的空间稳定性，造成物品的收缩或扭曲。这种降低品质恶意竞争的现象层出不穷，对消费者造成伤害，给中国品牌造成较恶劣的影响。</w:t>
      </w:r>
    </w:p>
    <w:p>
      <w:pPr>
        <w:pStyle w:val="2"/>
        <w:ind w:firstLine="480"/>
        <w:jc w:val="left"/>
      </w:pPr>
      <w:r>
        <w:rPr>
          <w:rFonts w:hint="eastAsia"/>
        </w:rPr>
        <w:t>以上问题的解决一方面需要企业提高自我责任意识，另一方面也迫切需要制定推荐性国家标准《群青》，规定群青中游离硫含量、有害元素含量等各影响因素的指标，提高群青颜料的产品质量，引导国内群青市场走上正轨，缩小与欧美市场的差距，提高民族企业在国际市场上的竞争力。</w:t>
      </w:r>
    </w:p>
    <w:p>
      <w:pPr>
        <w:pStyle w:val="2"/>
        <w:ind w:firstLine="480"/>
        <w:jc w:val="left"/>
        <w:rPr>
          <w:color w:val="auto"/>
        </w:rPr>
      </w:pPr>
      <w:r>
        <w:rPr>
          <w:rFonts w:hint="eastAsia"/>
        </w:rPr>
        <w:t>为了更好的保护人体健</w:t>
      </w:r>
      <w:r>
        <w:rPr>
          <w:rFonts w:hint="eastAsia"/>
          <w:color w:val="auto"/>
        </w:rPr>
        <w:t>康、生态环境，提高群青颜料的产品质量，</w:t>
      </w:r>
      <w:r>
        <w:rPr>
          <w:color w:val="auto"/>
        </w:rPr>
        <w:t>2016</w:t>
      </w:r>
      <w:r>
        <w:rPr>
          <w:rFonts w:hint="eastAsia"/>
          <w:color w:val="auto"/>
        </w:rPr>
        <w:t>年1月全国涂料和颜料标准化技术委员会向国家标准化管理委员会提出了制定推荐性国家标准《群青》的建议，并于</w:t>
      </w:r>
      <w:r>
        <w:rPr>
          <w:color w:val="auto"/>
        </w:rPr>
        <w:t>2016</w:t>
      </w:r>
      <w:r>
        <w:rPr>
          <w:rFonts w:hint="eastAsia"/>
          <w:color w:val="auto"/>
        </w:rPr>
        <w:t>年</w:t>
      </w:r>
      <w:r>
        <w:rPr>
          <w:color w:val="auto"/>
        </w:rPr>
        <w:t>9</w:t>
      </w:r>
      <w:r>
        <w:rPr>
          <w:rFonts w:hint="eastAsia"/>
          <w:color w:val="auto"/>
        </w:rPr>
        <w:t>月得到国家标准化管理委员会批准（国标委综合</w:t>
      </w:r>
      <w:r>
        <w:rPr>
          <w:color w:val="auto"/>
        </w:rPr>
        <w:t>[2016]60</w:t>
      </w:r>
      <w:r>
        <w:rPr>
          <w:rFonts w:hint="eastAsia"/>
          <w:color w:val="auto"/>
        </w:rPr>
        <w:t>号，计划编号</w:t>
      </w:r>
      <w:r>
        <w:rPr>
          <w:color w:val="auto"/>
        </w:rPr>
        <w:t>20161321-T-606</w:t>
      </w:r>
      <w:r>
        <w:rPr>
          <w:rFonts w:hint="eastAsia"/>
          <w:color w:val="auto"/>
        </w:rPr>
        <w:t>），山东省产品质量检验研究院为第一起草单位、天蓝颜料（山东）有限公司为第二起草单位，要求于2017年</w:t>
      </w:r>
      <w:r>
        <w:rPr>
          <w:rFonts w:hint="eastAsia" w:ascii="宋体" w:hAnsi="宋体" w:eastAsia="宋体" w:cs="宋体"/>
          <w:color w:val="auto"/>
          <w:lang w:val="en-US" w:eastAsia="zh-CN"/>
        </w:rPr>
        <w:t>7</w:t>
      </w:r>
      <w:r>
        <w:rPr>
          <w:rFonts w:hint="eastAsia" w:ascii="宋体" w:hAnsi="宋体" w:eastAsia="宋体" w:cs="宋体"/>
          <w:color w:val="auto"/>
        </w:rPr>
        <w:t>月</w:t>
      </w:r>
      <w:r>
        <w:rPr>
          <w:rFonts w:hint="eastAsia"/>
          <w:color w:val="auto"/>
        </w:rPr>
        <w:t>完成全部标准修订、所有相关材料的编制和审查工作，于</w:t>
      </w:r>
      <w:r>
        <w:rPr>
          <w:color w:val="auto"/>
        </w:rPr>
        <w:t>2017</w:t>
      </w:r>
      <w:r>
        <w:rPr>
          <w:rFonts w:hint="eastAsia"/>
          <w:color w:val="auto"/>
        </w:rPr>
        <w:t>年</w:t>
      </w:r>
      <w:r>
        <w:rPr>
          <w:color w:val="auto"/>
        </w:rPr>
        <w:t>8</w:t>
      </w:r>
      <w:r>
        <w:rPr>
          <w:rFonts w:hint="eastAsia"/>
          <w:color w:val="auto"/>
        </w:rPr>
        <w:t>月完成标准报批工作。</w:t>
      </w:r>
    </w:p>
    <w:p>
      <w:pPr>
        <w:pStyle w:val="4"/>
      </w:pPr>
      <w:r>
        <w:t xml:space="preserve">1.2 </w:t>
      </w:r>
      <w:r>
        <w:rPr>
          <w:rFonts w:hint="eastAsia"/>
        </w:rPr>
        <w:t>主要工作过程</w:t>
      </w:r>
    </w:p>
    <w:p>
      <w:pPr>
        <w:pStyle w:val="2"/>
        <w:ind w:firstLine="480"/>
        <w:jc w:val="left"/>
      </w:pPr>
      <w:r>
        <w:rPr>
          <w:rFonts w:hint="eastAsia"/>
        </w:rPr>
        <w:t>在上报标准制定计划之前，检索了国内外有关群青颜料的论文与相关文献，对群青颜料的国内外标</w:t>
      </w:r>
      <w:r>
        <w:rPr>
          <w:rFonts w:hint="eastAsia"/>
          <w:color w:val="auto"/>
        </w:rPr>
        <w:t>准与法规进行了查询，了解其发展动态。在接到上级主管部门的标准项目批准文件后，以山东省产品质量检验研究院牵头的起草小组着手标准制定的前期准备工作。</w:t>
      </w:r>
      <w:r>
        <w:rPr>
          <w:rFonts w:hint="eastAsia"/>
          <w:strike w:val="0"/>
          <w:dstrike w:val="0"/>
          <w:color w:val="auto"/>
        </w:rPr>
        <w:t>为使起草的标准与国际标准接轨，缩小与国际标准的差距，</w:t>
      </w:r>
      <w:r>
        <w:rPr>
          <w:rFonts w:hint="eastAsia"/>
          <w:dstrike w:val="0"/>
          <w:color w:val="auto"/>
        </w:rPr>
        <w:t>以</w:t>
      </w:r>
      <w:r>
        <w:rPr>
          <w:rFonts w:hint="eastAsia"/>
          <w:color w:val="auto"/>
        </w:rPr>
        <w:t>国际标准</w:t>
      </w:r>
      <w:r>
        <w:rPr>
          <w:color w:val="auto"/>
        </w:rPr>
        <w:t>ISO 788: 1974</w:t>
      </w:r>
      <w:r>
        <w:rPr>
          <w:rFonts w:hint="eastAsia"/>
          <w:color w:val="auto"/>
        </w:rPr>
        <w:t>《色漆用群青颜料》作为参考，在对目前国内外市场上群青颜料的技术现状、发展趋势、主要种类、技术要求进行分析的基础上，制定了工作方案，同时邀请</w:t>
      </w:r>
      <w:r>
        <w:rPr>
          <w:rFonts w:hint="eastAsia"/>
        </w:rPr>
        <w:t>有影响力和代表性的颜料生产单位和使用单位共同参加完成《群青》推荐性国家标准的制定工作。</w:t>
      </w:r>
    </w:p>
    <w:p>
      <w:pPr>
        <w:pStyle w:val="2"/>
        <w:ind w:firstLine="480"/>
        <w:jc w:val="left"/>
      </w:pPr>
      <w:r>
        <w:rPr>
          <w:rFonts w:hint="eastAsia"/>
        </w:rPr>
        <w:t>标委会秘书处于2016年10月组织召开了第一次标准制定工作会议，各单位均派代表参加了会议。标委会和本标准的起草单位山东省产品质量检验研究院和天蓝颜料（山东）有限公司组织相关人员在会上成立了标准制定工作组，讨论并确定了标准制定的工作原则、标准名称及标准适用范围、检验项目及相应的试验方法，并安排了工作进度及下一步的试验验证工作。会后根据会议上讨论确定的试验方案，</w:t>
      </w:r>
      <w:r>
        <w:rPr>
          <w:rFonts w:hint="eastAsia"/>
          <w:color w:val="000000" w:themeColor="text1"/>
          <w14:textFill>
            <w14:solidFill>
              <w14:schemeClr w14:val="tx1"/>
            </w14:solidFill>
          </w14:textFill>
        </w:rPr>
        <w:t>收集了各类样品共9个</w:t>
      </w:r>
      <w:r>
        <w:rPr>
          <w:rFonts w:hint="eastAsia"/>
        </w:rPr>
        <w:t>。由山东省产品质量检验研究院和天蓝颜料（山东）有限公司承担了此次标准制定的全部试验验证工作，截止</w:t>
      </w:r>
      <w:r>
        <w:rPr>
          <w:rFonts w:hint="eastAsia"/>
          <w:color w:val="000000" w:themeColor="text1"/>
          <w14:textFill>
            <w14:solidFill>
              <w14:schemeClr w14:val="tx1"/>
            </w14:solidFill>
          </w14:textFill>
        </w:rPr>
        <w:t>2016年12月</w:t>
      </w:r>
      <w:r>
        <w:rPr>
          <w:rFonts w:hint="eastAsia"/>
        </w:rPr>
        <w:t>已完成了全部预定项目的试验验证工作。根据试验验证统计结果及分析，确定了各项技术指标和试验方法，并据此及时编写了工作组讨论稿和工作组讨论稿的编制说明。</w:t>
      </w:r>
    </w:p>
    <w:p>
      <w:pPr>
        <w:pStyle w:val="2"/>
        <w:ind w:firstLine="480"/>
        <w:jc w:val="left"/>
      </w:pPr>
      <w:r>
        <w:rPr>
          <w:rFonts w:hint="eastAsia"/>
        </w:rPr>
        <w:t>2017年3月21日，全国涂料和颜料标准化技术委员会在常州组织的第二次《群青》国家标准起草工作组工作会议，山东省产品质量检验研究院组织天蓝颜料（山东）有限公司、广州市华生油漆颜料有限公司等参加工作组讨论。会议上，与会代表对标准中的各项要求和实验指标逐一进行讨论，并与验证实验的数据进行对比，提出对标准中部分实验指标进行修改建议。根据试验验证统计结果，及时编写了征求意见稿和征求意见稿的编制说明。</w:t>
      </w:r>
    </w:p>
    <w:p>
      <w:pPr>
        <w:pStyle w:val="3"/>
      </w:pPr>
      <w:r>
        <w:rPr>
          <w:rFonts w:cs="Arial"/>
        </w:rPr>
        <w:t>2</w:t>
      </w:r>
      <w:r>
        <w:t xml:space="preserve"> </w:t>
      </w:r>
      <w:r>
        <w:rPr>
          <w:rFonts w:hint="eastAsia"/>
        </w:rPr>
        <w:t>标准编制的主要内容</w:t>
      </w:r>
    </w:p>
    <w:p>
      <w:pPr>
        <w:pStyle w:val="4"/>
      </w:pPr>
      <w:r>
        <w:t xml:space="preserve">2.1 </w:t>
      </w:r>
      <w:r>
        <w:rPr>
          <w:rFonts w:hint="eastAsia"/>
        </w:rPr>
        <w:t>标准编制原则</w:t>
      </w:r>
    </w:p>
    <w:p>
      <w:pPr>
        <w:spacing w:line="360" w:lineRule="auto"/>
        <w:ind w:firstLine="480"/>
      </w:pPr>
      <w:r>
        <w:rPr>
          <w:rFonts w:hint="eastAsia"/>
        </w:rPr>
        <w:t>标准编制遵循“统一性、协调性、适用性、一致性、规范性”的原则，为提高标准的先进性，按照国家在制定标准时尽量采用或参考国际标准或国外先进标准的原则，本标准参考了国际标准</w:t>
      </w:r>
      <w:r>
        <w:t>ISO 788:1974</w:t>
      </w:r>
      <w:r>
        <w:rPr>
          <w:rFonts w:hint="eastAsia"/>
        </w:rPr>
        <w:t>《色漆用群青颜料》，同时充分考虑国内群青颜料生产与使用的实际情况，参考有代表性和影响力的群青颜料生产企业的企业标准，使制定出的该推荐性国家标准既符合国内群青颜料的实际技术水平又便于企业的实际操作。</w:t>
      </w:r>
    </w:p>
    <w:p>
      <w:pPr>
        <w:pStyle w:val="4"/>
      </w:pPr>
      <w:r>
        <w:t xml:space="preserve">2.2 </w:t>
      </w:r>
      <w:r>
        <w:rPr>
          <w:rFonts w:hint="eastAsia"/>
        </w:rPr>
        <w:t>标准适用范围</w:t>
      </w:r>
    </w:p>
    <w:p>
      <w:pPr>
        <w:ind w:firstLine="480"/>
      </w:pPr>
      <w:r>
        <w:rPr>
          <w:rFonts w:hint="eastAsia"/>
        </w:rPr>
        <w:t>本标准规定了群青的技术要求、试验方法、检验规则及包装、标识、运输和贮存。</w:t>
      </w:r>
    </w:p>
    <w:p>
      <w:pPr>
        <w:pStyle w:val="10"/>
        <w:widowControl/>
        <w:tabs>
          <w:tab w:val="center" w:pos="4201"/>
          <w:tab w:val="right" w:leader="dot" w:pos="9298"/>
        </w:tabs>
        <w:autoSpaceDE w:val="0"/>
        <w:autoSpaceDN w:val="0"/>
        <w:ind w:firstLine="480" w:firstLineChars="200"/>
      </w:pPr>
      <w:r>
        <w:rPr>
          <w:rFonts w:hint="eastAsia"/>
        </w:rPr>
        <w:t>本标准适用于以高岭土、纯碱、硫磺等为原料，经密闭窑高温煅烧而制得的群青。产品主要用于涂料、塑料、橡胶等领域。</w:t>
      </w:r>
    </w:p>
    <w:p>
      <w:pPr>
        <w:pStyle w:val="4"/>
      </w:pPr>
      <w:r>
        <w:t xml:space="preserve">2.3 </w:t>
      </w:r>
      <w:r>
        <w:rPr>
          <w:rFonts w:hint="eastAsia"/>
        </w:rPr>
        <w:t>主要检测指标与试验方法的确定</w:t>
      </w:r>
    </w:p>
    <w:p>
      <w:pPr>
        <w:pStyle w:val="5"/>
      </w:pPr>
      <w:r>
        <w:t xml:space="preserve">2.3.1 </w:t>
      </w:r>
      <w:r>
        <w:rPr>
          <w:rFonts w:hint="eastAsia"/>
        </w:rPr>
        <w:t>基本检测指标与依据</w:t>
      </w:r>
    </w:p>
    <w:p>
      <w:pPr>
        <w:pStyle w:val="2"/>
        <w:ind w:firstLine="480"/>
        <w:rPr>
          <w:rFonts w:hint="eastAsia" w:ascii="宋体" w:hAnsi="宋体" w:eastAsia="宋体" w:cs="宋体"/>
          <w:color w:val="auto"/>
        </w:rPr>
      </w:pPr>
      <w:r>
        <w:rPr>
          <w:rFonts w:hint="eastAsia" w:ascii="宋体" w:hAnsi="宋体" w:eastAsia="宋体" w:cs="宋体"/>
        </w:rPr>
        <w:t>通过查找大量相关文献和现有的关于颜料的国家推荐性标准GB/T 1706-2006《二氧化钛颜料》、GB/T 1863-2008《氧化铁颜料》等可知，水悬浮液pH值、筛余物、水溶物的质量分数、105℃挥发物的质量分数、吸油量等都是颜料产品的基本要素和技术要求，也是产品质量的重要保证。基本检测指标所对应的检测依据分别为：水悬浮液pH值（GB 1717-1986），水</w:t>
      </w:r>
      <w:r>
        <w:rPr>
          <w:rFonts w:hint="eastAsia" w:ascii="宋体" w:hAnsi="宋体" w:eastAsia="宋体" w:cs="宋体"/>
          <w:color w:val="auto"/>
        </w:rPr>
        <w:t>溶物的质量分数（GB/T 5211.2-2003/ISO 787-3:2000），105℃挥发物的质量分数（GB 5211.3-1985），筛余物的质量分数（GB/T 5211.18-2015），吸油量（GB/T 5211.15-</w:t>
      </w:r>
      <w:r>
        <w:rPr>
          <w:rFonts w:hint="eastAsia" w:ascii="宋体" w:hAnsi="宋体" w:eastAsia="宋体" w:cs="宋体"/>
          <w:color w:val="auto"/>
          <w:lang w:val="en-US" w:eastAsia="zh-CN"/>
        </w:rPr>
        <w:t>2014</w:t>
      </w:r>
      <w:r>
        <w:rPr>
          <w:rFonts w:hint="eastAsia" w:ascii="宋体" w:hAnsi="宋体" w:eastAsia="宋体" w:cs="宋体"/>
          <w:color w:val="auto"/>
        </w:rPr>
        <w:t>）。</w:t>
      </w:r>
    </w:p>
    <w:p>
      <w:pPr>
        <w:pStyle w:val="5"/>
        <w:rPr>
          <w:color w:val="auto"/>
        </w:rPr>
      </w:pPr>
      <w:r>
        <w:rPr>
          <w:rFonts w:hint="eastAsia"/>
          <w:color w:val="auto"/>
        </w:rPr>
        <w:t>2.3.2 颜色的检测依据</w:t>
      </w:r>
    </w:p>
    <w:p>
      <w:pPr>
        <w:pStyle w:val="2"/>
        <w:ind w:firstLine="480"/>
      </w:pPr>
      <w:r>
        <w:rPr>
          <w:rFonts w:hint="eastAsia"/>
        </w:rPr>
        <w:t>颜料颜色的比较（与参比样品比），即测试样品与参比样品的颜色的差值。广泛应用于塑胶、印刷、油漆油墨、纺织服装等。结果以试样与参比样色差△E*表示。</w:t>
      </w:r>
    </w:p>
    <w:p>
      <w:pPr>
        <w:pStyle w:val="2"/>
        <w:ind w:firstLine="480"/>
      </w:pPr>
      <w:r>
        <w:rPr>
          <w:rFonts w:hint="eastAsia"/>
        </w:rPr>
        <w:t>考虑到生产企业的实际情况，现经过讨论，本标准提供了两种检测颜料颜色的方法，即A法 目视法和B法 仪器法。对于目视法，仍然采用GB/T 1864-2012的检测方法。对于仪器法，采用GB/T 5211.20《在本色体系中白色、黑色和着色颜料 颜色的比较 色度法》来进行检测。供需双方可商定选用其中任一方法。</w:t>
      </w:r>
    </w:p>
    <w:p>
      <w:pPr>
        <w:pStyle w:val="5"/>
      </w:pPr>
      <w:r>
        <w:t>2.3.</w:t>
      </w:r>
      <w:r>
        <w:rPr>
          <w:rFonts w:hint="eastAsia"/>
        </w:rPr>
        <w:t>3</w:t>
      </w:r>
      <w:r>
        <w:t xml:space="preserve"> </w:t>
      </w:r>
      <w:r>
        <w:rPr>
          <w:rFonts w:hint="eastAsia"/>
        </w:rPr>
        <w:t>着色力的检测依据</w:t>
      </w:r>
      <w:r>
        <w:t xml:space="preserve"> </w:t>
      </w:r>
    </w:p>
    <w:p>
      <w:pPr>
        <w:pStyle w:val="2"/>
        <w:ind w:firstLine="480"/>
      </w:pPr>
      <w:r>
        <w:rPr>
          <w:rFonts w:hint="eastAsia"/>
        </w:rPr>
        <w:t>着色力，又称着色强度，是某一种颜料与基准颜料混合后形成颜色强弱的能力，通常是以白色颜料为基准去衡量各种彩色或黑色颜料对白色颜料的着色能力。</w:t>
      </w:r>
      <w:r>
        <w:t> </w:t>
      </w:r>
      <w:r>
        <w:rPr>
          <w:rFonts w:hint="eastAsia"/>
        </w:rPr>
        <w:t>着色力是颜料的重要性能之一，也是颜料的主要技术经济参数。着色力越强，用量越少，成本也越低。颜料着色力的强弱不仅取决于其本身的性质（如粒子大小及分布、折射率、颗粒表面状态等），还与其分散度有很大关系。分散度越好，着色力越强，因此着色力的大小能反应出颜料产品质量的优劣。</w:t>
      </w:r>
    </w:p>
    <w:p>
      <w:pPr>
        <w:pStyle w:val="2"/>
        <w:ind w:firstLine="480"/>
      </w:pPr>
      <w:r>
        <w:rPr>
          <w:rFonts w:hint="eastAsia"/>
        </w:rPr>
        <w:t>考虑到生产企业的实际情况，现经过讨论，本标准提供了两种检测颜料相对着色力的方法，即A法 目视法和B法 仪器法。对于仪器法，采用GB/T 13451.2作为群青相对着色力的检测方法。对于目视法，采用GB/T 5211.19《着色颜料的相对着色力和冲淡色的测定 目视比较法》来进行检测。供需双方可商定选用其中任一方法。</w:t>
      </w:r>
    </w:p>
    <w:p>
      <w:pPr>
        <w:pStyle w:val="5"/>
      </w:pPr>
      <w:r>
        <w:t>2.3.</w:t>
      </w:r>
      <w:r>
        <w:rPr>
          <w:rFonts w:hint="eastAsia"/>
        </w:rPr>
        <w:t>4</w:t>
      </w:r>
      <w:r>
        <w:t xml:space="preserve"> </w:t>
      </w:r>
      <w:r>
        <w:rPr>
          <w:rFonts w:hint="eastAsia"/>
        </w:rPr>
        <w:t>可溶性有机着色物的检测依据</w:t>
      </w:r>
    </w:p>
    <w:p>
      <w:pPr>
        <w:pStyle w:val="2"/>
        <w:ind w:firstLine="480"/>
      </w:pPr>
      <w:r>
        <w:rPr>
          <w:rFonts w:hint="eastAsia"/>
        </w:rPr>
        <w:t>颜料分为有机颜料和无机颜料。有机颜料与一般的无机颜料相比，通常具有较高的着色力，颗粒容易研磨和分散、不易沉淀，色彩也较鲜艳。对于群青颜料而言，它属于无机颜料的范畴。为防止提高着色力而添加有机颜料，可溶性有机着色物的检测项目是必不可少的。采用推荐性国家标准</w:t>
      </w:r>
      <w:r>
        <w:t>GB/T 1863-2008</w:t>
      </w:r>
      <w:r>
        <w:rPr>
          <w:rFonts w:hint="eastAsia"/>
        </w:rPr>
        <w:t>中</w:t>
      </w:r>
      <w:r>
        <w:t>8.9</w:t>
      </w:r>
      <w:r>
        <w:rPr>
          <w:rFonts w:hint="eastAsia"/>
        </w:rPr>
        <w:t>可溶性有机着色物的试验即可检测群青颜料中是否含有可溶性有机着色物。</w:t>
      </w:r>
    </w:p>
    <w:p>
      <w:pPr>
        <w:pStyle w:val="5"/>
      </w:pPr>
      <w:r>
        <w:t>2.3.</w:t>
      </w:r>
      <w:r>
        <w:rPr>
          <w:rFonts w:hint="eastAsia"/>
        </w:rPr>
        <w:t>5</w:t>
      </w:r>
      <w:r>
        <w:t xml:space="preserve"> </w:t>
      </w:r>
      <w:r>
        <w:rPr>
          <w:rFonts w:hint="eastAsia"/>
        </w:rPr>
        <w:t>游离硫的检测依据</w:t>
      </w:r>
    </w:p>
    <w:p>
      <w:pPr>
        <w:pStyle w:val="2"/>
        <w:ind w:firstLine="480"/>
      </w:pPr>
      <w:r>
        <w:rPr>
          <w:rFonts w:hint="eastAsia"/>
        </w:rPr>
        <w:t>群青颜料是以高岭土、纯碱、硫磺等为原料，经密闭窑高温煅烧而制得的。因此产品中含有未反应的原料硫和添加剂，杂质容易破坏其吸收光谱的单色性，导致艳度降低。因此群青颜料中游离硫含量的高低会影响颜料的艳度。为提高产品质量，降低产品中游离硫的含量，其检验方法按该标准中7.6规定的实验方法进行测定。</w:t>
      </w:r>
    </w:p>
    <w:p>
      <w:pPr>
        <w:pStyle w:val="5"/>
      </w:pPr>
      <w:r>
        <w:t>2.3.</w:t>
      </w:r>
      <w:r>
        <w:rPr>
          <w:rFonts w:hint="eastAsia"/>
        </w:rPr>
        <w:t>6</w:t>
      </w:r>
      <w:r>
        <w:t xml:space="preserve"> </w:t>
      </w:r>
      <w:r>
        <w:rPr>
          <w:rFonts w:hint="eastAsia"/>
        </w:rPr>
        <w:t>耐光性的检测依据</w:t>
      </w:r>
    </w:p>
    <w:p>
      <w:pPr>
        <w:pStyle w:val="2"/>
        <w:ind w:firstLine="480"/>
      </w:pPr>
      <w:r>
        <w:rPr>
          <w:rFonts w:hint="eastAsia"/>
        </w:rPr>
        <w:t>耐光性是指在规定的光源下，颜料保持原有性能，不发生褪色、变色或粉化的能力。即颜料受光照射后的抗褪色性能。颜料的耐光性主要决定于其化学结构、外界条件和助剂等因素的影响。依据推荐性国家标准GB/T 1710规定的实验方法进行测定。特定试验条件及评定方法也可由供需双方商定。</w:t>
      </w:r>
    </w:p>
    <w:p>
      <w:pPr>
        <w:pStyle w:val="5"/>
      </w:pPr>
      <w:r>
        <w:t>2.3.</w:t>
      </w:r>
      <w:r>
        <w:rPr>
          <w:rFonts w:hint="eastAsia"/>
        </w:rPr>
        <w:t>7</w:t>
      </w:r>
      <w:r>
        <w:t xml:space="preserve"> </w:t>
      </w:r>
      <w:r>
        <w:rPr>
          <w:rFonts w:hint="eastAsia"/>
        </w:rPr>
        <w:t>耐热性的检测依据</w:t>
      </w:r>
    </w:p>
    <w:p>
      <w:pPr>
        <w:pStyle w:val="2"/>
        <w:ind w:firstLine="480"/>
      </w:pPr>
      <w:r>
        <w:rPr>
          <w:rFonts w:hint="eastAsia"/>
        </w:rPr>
        <w:t>耐热性是指在一定加工温度下，颜料不发生明显的色光和着色力的变化。即在规定条件下，颜料不会发生褪色、变色，甚至分解的最高温度。耐热性是颜料在应用系统中使用寿命的指标。依据化工行业标准HG/T 3853—2006《颜料干粉耐热性测定法》规定的试验方法即可检测群青（蓝色、紫色、粉红色）产品的耐热性。</w:t>
      </w:r>
    </w:p>
    <w:p>
      <w:pPr>
        <w:pStyle w:val="2"/>
        <w:ind w:firstLine="480"/>
      </w:pPr>
      <w:r>
        <w:rPr>
          <w:rFonts w:hint="eastAsia"/>
        </w:rPr>
        <w:t>通常产品在涂料、油墨和塑料等领域里的实际可使用温度可能会不同于本方法所确定的温度，不同应用领域可使用温度由对应的试验结果确定。如涂料产品可参考采用GB/T 1711规定的方法进行试验，塑料产品可参考采用HG/T 4767.1—2014规定的方法进行试验。</w:t>
      </w:r>
    </w:p>
    <w:p>
      <w:pPr>
        <w:pStyle w:val="5"/>
      </w:pPr>
      <w:r>
        <w:t>2.3.</w:t>
      </w:r>
      <w:r>
        <w:rPr>
          <w:rFonts w:hint="eastAsia"/>
        </w:rPr>
        <w:t>8</w:t>
      </w:r>
      <w:r>
        <w:t xml:space="preserve"> </w:t>
      </w:r>
      <w:r>
        <w:rPr>
          <w:rFonts w:hint="eastAsia"/>
        </w:rPr>
        <w:t>迁移性的检测依据</w:t>
      </w:r>
    </w:p>
    <w:p>
      <w:pPr>
        <w:pStyle w:val="2"/>
        <w:ind w:firstLine="480"/>
      </w:pPr>
      <w:r>
        <w:rPr>
          <w:rFonts w:hint="eastAsia"/>
        </w:rPr>
        <w:t>颜料迁移性是指颜料抵抗因涂膜中的溶剂或塑料、橡胶制品中的增塑剂挥发而迁移到应用系统表面上或附近材料中的能力。由于某些颜料有亲溶剂性或亲油性而溶于溶剂或增塑剂中，从而造成颜料的迁移性。</w:t>
      </w:r>
    </w:p>
    <w:p>
      <w:pPr>
        <w:pStyle w:val="2"/>
        <w:ind w:firstLine="480"/>
      </w:pPr>
      <w:r>
        <w:rPr>
          <w:rFonts w:hint="eastAsia"/>
        </w:rPr>
        <w:t>不同型号产品的耐迁移性评估试验条件及评定方法应由供需双方商定。结果以试样和参比样耐迁移性（沾色等级）的差异程度表示。应用于涂料领域的产品耐迁移性可参考采用HG/T 3834规定的方法进行试验；应用于塑料领域的产品耐迁移性可参考采用HG/T 4769.4—2014规定的方法进行试验。</w:t>
      </w:r>
    </w:p>
    <w:p>
      <w:pPr>
        <w:pStyle w:val="5"/>
      </w:pPr>
      <w:r>
        <w:t>2.3.</w:t>
      </w:r>
      <w:r>
        <w:rPr>
          <w:rFonts w:hint="eastAsia"/>
        </w:rPr>
        <w:t>9</w:t>
      </w:r>
      <w:r>
        <w:t xml:space="preserve"> </w:t>
      </w:r>
      <w:r>
        <w:rPr>
          <w:rFonts w:hint="eastAsia"/>
        </w:rPr>
        <w:t>有害元素的检测依据</w:t>
      </w:r>
    </w:p>
    <w:p>
      <w:pPr>
        <w:pStyle w:val="2"/>
        <w:ind w:firstLine="480"/>
      </w:pPr>
      <w:r>
        <w:rPr>
          <w:rFonts w:hint="eastAsia"/>
        </w:rPr>
        <w:t>本标准中的有害元素主要是指汞、镉、铅、铬以及类金属砷等生物毒性显著的重元素。有害元素不能被生物降解，相反却能在食物链的生物放大作用下，成千百倍地富集，最后进入人体。有害元素大多都能抑制生物酶的活性，破坏正常的生物化学反应，使其丧失或改变了原来的生理化学功能而产生病变。此外有害元素也可能在人体的某些器官中富集，造成慢性中毒。因此颜料中的有害元素含量的高低直接影响着人的生命安全。群青颜料中的有害元素主要来自于高岭土、纯碱、硫磺等原料中。</w:t>
      </w:r>
    </w:p>
    <w:p>
      <w:pPr>
        <w:pStyle w:val="2"/>
      </w:pPr>
      <w:r>
        <w:rPr>
          <w:rFonts w:hint="eastAsia"/>
        </w:rPr>
        <w:t xml:space="preserve">    依据GB/T 23994-2009《与人体接触的消费产品用涂料中特定有害元素含量限量》可知，Pb≤90 mg/kg，Cd≤75 mg/kg，Cr≤60 mg/kg，Hg≤60 mg/kg，As≤25 mg/kg，Sb≤60 mg/kg，Ba≤1 000 mg/kg，Se≤500 mg/kg。其检验方法为GB/T 23991-2009《涂料中可溶性有害元素含量的测定》可测定群青中8项有害元素的含量。</w:t>
      </w:r>
    </w:p>
    <w:p>
      <w:pPr>
        <w:pStyle w:val="3"/>
      </w:pPr>
      <w:r>
        <w:t xml:space="preserve">3 </w:t>
      </w:r>
      <w:r>
        <w:rPr>
          <w:rFonts w:hint="eastAsia"/>
        </w:rPr>
        <w:t>验证试验和预期达到的经济效果</w:t>
      </w:r>
    </w:p>
    <w:p>
      <w:pPr>
        <w:pStyle w:val="4"/>
      </w:pPr>
      <w:r>
        <w:t xml:space="preserve">3.1 </w:t>
      </w:r>
      <w:r>
        <w:rPr>
          <w:rFonts w:hint="eastAsia"/>
        </w:rPr>
        <w:t>验证试验</w:t>
      </w:r>
    </w:p>
    <w:p>
      <w:pPr>
        <w:ind w:firstLine="480"/>
      </w:pPr>
      <w:r>
        <w:rPr>
          <w:rFonts w:hint="eastAsia"/>
        </w:rPr>
        <w:t xml:space="preserve">该验证实验所采用的群青样品分别为天蓝颜料（山东）有限公司生产的9个产品，分别为兰相TL1515（150105、160905、160701），红相800（131103、160405、160906），463（151106、160904、161005）。依据标准中的各项检测指标依次进行检验。                                                                                     </w:t>
      </w:r>
    </w:p>
    <w:p>
      <w:pPr>
        <w:pStyle w:val="5"/>
      </w:pPr>
      <w:r>
        <w:rPr>
          <w:rFonts w:hint="eastAsia"/>
        </w:rPr>
        <w:t>3.1.1 基本检测指标的实验结果</w:t>
      </w:r>
    </w:p>
    <w:p>
      <w:pPr>
        <w:ind w:firstLine="480"/>
      </w:pPr>
      <w:r>
        <w:rPr>
          <w:rFonts w:hint="eastAsia"/>
        </w:rPr>
        <w:t>群青颜料的pH值是指溶液的酸碱性强弱程度，依据国标</w:t>
      </w:r>
      <w:r>
        <w:t>GB/T 1717</w:t>
      </w:r>
      <w:r>
        <w:rPr>
          <w:rFonts w:hint="eastAsia"/>
        </w:rPr>
        <w:t>测得9个产品的pH值（见表1）皆为碱性，这是因为合成群青的原料中含有弱碱性的纯碱。另外产品的pH值也可由供需双方商定。</w:t>
      </w:r>
    </w:p>
    <w:p>
      <w:pPr>
        <w:pStyle w:val="2"/>
        <w:ind w:firstLine="480" w:firstLineChars="200"/>
        <w:jc w:val="left"/>
      </w:pPr>
      <w:r>
        <w:rPr>
          <w:rFonts w:hint="eastAsia"/>
        </w:rPr>
        <w:t>水溶物质量分数、105</w:t>
      </w:r>
      <w:r>
        <w:t>℃</w:t>
      </w:r>
      <w:r>
        <w:rPr>
          <w:rFonts w:hint="eastAsia"/>
        </w:rPr>
        <w:t xml:space="preserve">挥发物质量分数、筛余物（45 </w:t>
      </w:r>
      <w:r>
        <w:rPr>
          <w:color w:val="000000"/>
          <w:sz w:val="18"/>
          <w:szCs w:val="18"/>
        </w:rPr>
        <w:t>μm</w:t>
      </w:r>
      <w:r>
        <w:rPr>
          <w:rFonts w:hint="eastAsia"/>
          <w:color w:val="000000"/>
          <w:sz w:val="18"/>
          <w:szCs w:val="18"/>
        </w:rPr>
        <w:t>孔径</w:t>
      </w:r>
      <w:r>
        <w:rPr>
          <w:rFonts w:hint="eastAsia"/>
        </w:rPr>
        <w:t>）的质量分数是常见化工产品的检测指标。</w:t>
      </w:r>
      <w:r>
        <w:rPr>
          <w:rFonts w:hint="eastAsia" w:hAnsi="宋体"/>
        </w:rPr>
        <w:t>依据GB/T 5211.2、</w:t>
      </w:r>
      <w:r>
        <w:t>GB/T 5211.3</w:t>
      </w:r>
      <w:r>
        <w:rPr>
          <w:rFonts w:hint="eastAsia"/>
          <w:szCs w:val="18"/>
        </w:rPr>
        <w:t>和GB/T 5211.18的</w:t>
      </w:r>
      <w:r>
        <w:t>规</w:t>
      </w:r>
      <w:r>
        <w:rPr>
          <w:rFonts w:hint="eastAsia"/>
        </w:rPr>
        <w:t>定测得9个产品的实验数据，见表1。</w:t>
      </w:r>
      <w:r>
        <w:rPr>
          <w:rFonts w:hint="eastAsia" w:hAnsi="宋体"/>
        </w:rPr>
        <w:t>依据本标准制定的指标要求，水溶物</w:t>
      </w:r>
      <w:r>
        <w:rPr>
          <w:rFonts w:hint="eastAsia"/>
        </w:rPr>
        <w:t>质量分数</w:t>
      </w:r>
      <w:r>
        <w:rPr>
          <w:rFonts w:hint="eastAsia" w:hAnsi="宋体"/>
        </w:rPr>
        <w:t>和105℃挥发物</w:t>
      </w:r>
      <w:r>
        <w:rPr>
          <w:rFonts w:hint="eastAsia"/>
        </w:rPr>
        <w:t>质量分数各有2个产品没达到标准规定的指标，合格率为77.8%。</w:t>
      </w:r>
    </w:p>
    <w:p>
      <w:pPr>
        <w:pStyle w:val="2"/>
        <w:jc w:val="center"/>
        <w:rPr>
          <w:sz w:val="21"/>
          <w:szCs w:val="21"/>
        </w:rPr>
      </w:pPr>
      <w:r>
        <w:rPr>
          <w:rFonts w:hint="eastAsia"/>
          <w:sz w:val="21"/>
          <w:szCs w:val="21"/>
        </w:rPr>
        <w:t>表1基本检测指标的实验结果</w:t>
      </w:r>
    </w:p>
    <w:tbl>
      <w:tblPr>
        <w:tblStyle w:val="12"/>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227"/>
        <w:gridCol w:w="1385"/>
        <w:gridCol w:w="1556"/>
        <w:gridCol w:w="1556"/>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9" w:type="dxa"/>
            <w:gridSpan w:val="2"/>
            <w:vAlign w:val="center"/>
          </w:tcPr>
          <w:p>
            <w:pPr>
              <w:pStyle w:val="2"/>
              <w:jc w:val="center"/>
              <w:rPr>
                <w:rFonts w:ascii="Calibri" w:hAnsi="Calibri"/>
                <w:sz w:val="21"/>
                <w:szCs w:val="21"/>
              </w:rPr>
            </w:pPr>
            <w:r>
              <w:rPr>
                <w:rFonts w:hint="eastAsia" w:ascii="Calibri" w:hAnsi="Calibri"/>
                <w:sz w:val="21"/>
                <w:szCs w:val="21"/>
              </w:rPr>
              <w:t>颜料名称</w:t>
            </w:r>
          </w:p>
        </w:tc>
        <w:tc>
          <w:tcPr>
            <w:tcW w:w="1385" w:type="dxa"/>
            <w:vAlign w:val="center"/>
          </w:tcPr>
          <w:p>
            <w:pPr>
              <w:pStyle w:val="2"/>
              <w:jc w:val="center"/>
              <w:rPr>
                <w:sz w:val="21"/>
                <w:szCs w:val="21"/>
              </w:rPr>
            </w:pPr>
            <w:r>
              <w:rPr>
                <w:rFonts w:hint="eastAsia"/>
                <w:sz w:val="21"/>
                <w:szCs w:val="21"/>
              </w:rPr>
              <w:t>水悬浮液</w:t>
            </w:r>
          </w:p>
          <w:p>
            <w:pPr>
              <w:pStyle w:val="2"/>
              <w:jc w:val="center"/>
              <w:rPr>
                <w:rFonts w:ascii="Calibri" w:hAnsi="Calibri"/>
                <w:sz w:val="21"/>
                <w:szCs w:val="21"/>
              </w:rPr>
            </w:pPr>
            <w:r>
              <w:rPr>
                <w:sz w:val="21"/>
                <w:szCs w:val="21"/>
              </w:rPr>
              <w:t>pH</w:t>
            </w:r>
            <w:r>
              <w:rPr>
                <w:rFonts w:hint="eastAsia" w:ascii="Calibri" w:hAnsi="Calibri"/>
                <w:sz w:val="21"/>
                <w:szCs w:val="21"/>
              </w:rPr>
              <w:t>值</w:t>
            </w:r>
          </w:p>
        </w:tc>
        <w:tc>
          <w:tcPr>
            <w:tcW w:w="1556" w:type="dxa"/>
          </w:tcPr>
          <w:p>
            <w:pPr>
              <w:pStyle w:val="2"/>
              <w:jc w:val="center"/>
              <w:rPr>
                <w:sz w:val="21"/>
                <w:szCs w:val="21"/>
              </w:rPr>
            </w:pPr>
            <w:r>
              <w:rPr>
                <w:rFonts w:hint="eastAsia" w:ascii="Calibri" w:hAnsi="Calibri"/>
                <w:sz w:val="21"/>
                <w:szCs w:val="21"/>
              </w:rPr>
              <w:t>水溶物/</w:t>
            </w:r>
            <w:r>
              <w:rPr>
                <w:sz w:val="21"/>
                <w:szCs w:val="21"/>
              </w:rPr>
              <w:t>%</w:t>
            </w:r>
          </w:p>
          <w:p>
            <w:pPr>
              <w:pStyle w:val="2"/>
              <w:jc w:val="center"/>
              <w:rPr>
                <w:rFonts w:ascii="Calibri" w:hAnsi="Calibri"/>
                <w:sz w:val="21"/>
                <w:szCs w:val="21"/>
              </w:rPr>
            </w:pPr>
            <w:r>
              <w:rPr>
                <w:rFonts w:hint="eastAsia"/>
                <w:sz w:val="21"/>
                <w:szCs w:val="21"/>
              </w:rPr>
              <w:t>（≤1.0）</w:t>
            </w:r>
          </w:p>
        </w:tc>
        <w:tc>
          <w:tcPr>
            <w:tcW w:w="1556" w:type="dxa"/>
          </w:tcPr>
          <w:p>
            <w:pPr>
              <w:pStyle w:val="2"/>
              <w:jc w:val="center"/>
              <w:rPr>
                <w:sz w:val="21"/>
                <w:szCs w:val="21"/>
              </w:rPr>
            </w:pPr>
            <w:r>
              <w:rPr>
                <w:sz w:val="21"/>
                <w:szCs w:val="21"/>
              </w:rPr>
              <w:t>挥发物/%</w:t>
            </w:r>
          </w:p>
          <w:p>
            <w:pPr>
              <w:pStyle w:val="2"/>
              <w:jc w:val="center"/>
              <w:rPr>
                <w:sz w:val="21"/>
                <w:szCs w:val="21"/>
              </w:rPr>
            </w:pPr>
            <w:r>
              <w:rPr>
                <w:sz w:val="21"/>
                <w:szCs w:val="21"/>
              </w:rPr>
              <w:t>（</w:t>
            </w:r>
            <w:r>
              <w:rPr>
                <w:rFonts w:hint="eastAsia"/>
                <w:sz w:val="21"/>
                <w:szCs w:val="21"/>
              </w:rPr>
              <w:t>≤</w:t>
            </w:r>
            <w:r>
              <w:rPr>
                <w:sz w:val="21"/>
                <w:szCs w:val="21"/>
              </w:rPr>
              <w:t>1.0）</w:t>
            </w:r>
          </w:p>
        </w:tc>
        <w:tc>
          <w:tcPr>
            <w:tcW w:w="1556" w:type="dxa"/>
          </w:tcPr>
          <w:p>
            <w:pPr>
              <w:pStyle w:val="2"/>
              <w:jc w:val="center"/>
              <w:rPr>
                <w:sz w:val="21"/>
                <w:szCs w:val="21"/>
              </w:rPr>
            </w:pPr>
            <w:r>
              <w:rPr>
                <w:rFonts w:hint="eastAsia" w:ascii="Calibri" w:hAnsi="Calibri"/>
                <w:sz w:val="21"/>
                <w:szCs w:val="21"/>
              </w:rPr>
              <w:t>筛余物/</w:t>
            </w:r>
            <w:r>
              <w:rPr>
                <w:sz w:val="21"/>
                <w:szCs w:val="21"/>
              </w:rPr>
              <w:t>%</w:t>
            </w:r>
          </w:p>
          <w:p>
            <w:pPr>
              <w:pStyle w:val="2"/>
              <w:jc w:val="center"/>
              <w:rPr>
                <w:rFonts w:ascii="Calibri" w:hAnsi="Calibri"/>
                <w:sz w:val="21"/>
                <w:szCs w:val="21"/>
              </w:rPr>
            </w:pPr>
            <w:r>
              <w:rPr>
                <w:rFonts w:hint="eastAsia" w:ascii="Calibri" w:hAnsi="Calibri"/>
                <w:sz w:val="21"/>
                <w:szCs w:val="21"/>
              </w:rPr>
              <w:t>（≤</w:t>
            </w:r>
            <w:r>
              <w:rPr>
                <w:sz w:val="21"/>
                <w:szCs w:val="21"/>
              </w:rPr>
              <w:t>0.5</w:t>
            </w:r>
            <w:r>
              <w:rPr>
                <w:rFonts w:hint="eastAsia" w:ascii="Calibri" w:hAnsi="Calibri"/>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2" w:type="dxa"/>
            <w:vMerge w:val="restart"/>
            <w:vAlign w:val="center"/>
          </w:tcPr>
          <w:p>
            <w:pPr>
              <w:jc w:val="center"/>
              <w:rPr>
                <w:sz w:val="21"/>
                <w:szCs w:val="21"/>
              </w:rPr>
            </w:pPr>
            <w:r>
              <w:rPr>
                <w:rFonts w:hAnsi="Calibri"/>
                <w:sz w:val="21"/>
                <w:szCs w:val="21"/>
              </w:rPr>
              <w:t>兰相</w:t>
            </w:r>
            <w:r>
              <w:rPr>
                <w:sz w:val="21"/>
                <w:szCs w:val="21"/>
              </w:rPr>
              <w:t>TL1515</w:t>
            </w:r>
          </w:p>
        </w:tc>
        <w:tc>
          <w:tcPr>
            <w:tcW w:w="1227" w:type="dxa"/>
          </w:tcPr>
          <w:p>
            <w:pPr>
              <w:jc w:val="center"/>
              <w:rPr>
                <w:sz w:val="21"/>
                <w:szCs w:val="21"/>
              </w:rPr>
            </w:pPr>
            <w:r>
              <w:rPr>
                <w:sz w:val="21"/>
                <w:szCs w:val="21"/>
              </w:rPr>
              <w:t>150105</w:t>
            </w:r>
          </w:p>
        </w:tc>
        <w:tc>
          <w:tcPr>
            <w:tcW w:w="1385" w:type="dxa"/>
          </w:tcPr>
          <w:p>
            <w:pPr>
              <w:jc w:val="center"/>
              <w:rPr>
                <w:sz w:val="21"/>
                <w:szCs w:val="21"/>
              </w:rPr>
            </w:pPr>
            <w:r>
              <w:rPr>
                <w:sz w:val="21"/>
                <w:szCs w:val="21"/>
              </w:rPr>
              <w:t>10.24</w:t>
            </w:r>
          </w:p>
        </w:tc>
        <w:tc>
          <w:tcPr>
            <w:tcW w:w="1556" w:type="dxa"/>
          </w:tcPr>
          <w:p>
            <w:pPr>
              <w:jc w:val="center"/>
              <w:rPr>
                <w:sz w:val="21"/>
                <w:szCs w:val="21"/>
              </w:rPr>
            </w:pPr>
            <w:r>
              <w:rPr>
                <w:sz w:val="21"/>
                <w:szCs w:val="21"/>
              </w:rPr>
              <w:t>0.74</w:t>
            </w:r>
          </w:p>
        </w:tc>
        <w:tc>
          <w:tcPr>
            <w:tcW w:w="1556" w:type="dxa"/>
          </w:tcPr>
          <w:p>
            <w:pPr>
              <w:jc w:val="center"/>
              <w:rPr>
                <w:sz w:val="21"/>
                <w:szCs w:val="21"/>
              </w:rPr>
            </w:pPr>
            <w:r>
              <w:rPr>
                <w:sz w:val="21"/>
                <w:szCs w:val="21"/>
              </w:rPr>
              <w:t>1.09</w:t>
            </w:r>
          </w:p>
        </w:tc>
        <w:tc>
          <w:tcPr>
            <w:tcW w:w="1556" w:type="dxa"/>
          </w:tcPr>
          <w:p>
            <w:pPr>
              <w:jc w:val="center"/>
              <w:rPr>
                <w:sz w:val="21"/>
                <w:szCs w:val="21"/>
              </w:rPr>
            </w:pPr>
            <w:r>
              <w:rPr>
                <w:sz w:val="21"/>
                <w:szCs w:val="21"/>
              </w:rPr>
              <w:t>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2" w:type="dxa"/>
            <w:vMerge w:val="continue"/>
          </w:tcPr>
          <w:p>
            <w:pPr>
              <w:pStyle w:val="2"/>
              <w:jc w:val="center"/>
              <w:rPr>
                <w:sz w:val="21"/>
                <w:szCs w:val="21"/>
              </w:rPr>
            </w:pPr>
          </w:p>
        </w:tc>
        <w:tc>
          <w:tcPr>
            <w:tcW w:w="1227" w:type="dxa"/>
          </w:tcPr>
          <w:p>
            <w:pPr>
              <w:pStyle w:val="2"/>
              <w:jc w:val="center"/>
              <w:rPr>
                <w:sz w:val="21"/>
                <w:szCs w:val="21"/>
              </w:rPr>
            </w:pPr>
            <w:r>
              <w:rPr>
                <w:sz w:val="21"/>
                <w:szCs w:val="21"/>
              </w:rPr>
              <w:t>1</w:t>
            </w:r>
            <w:r>
              <w:rPr>
                <w:rFonts w:hint="eastAsia"/>
                <w:sz w:val="21"/>
                <w:szCs w:val="21"/>
              </w:rPr>
              <w:t>5</w:t>
            </w:r>
            <w:r>
              <w:rPr>
                <w:sz w:val="21"/>
                <w:szCs w:val="21"/>
              </w:rPr>
              <w:t>090</w:t>
            </w:r>
            <w:r>
              <w:rPr>
                <w:rFonts w:hint="eastAsia"/>
                <w:sz w:val="21"/>
                <w:szCs w:val="21"/>
              </w:rPr>
              <w:t>3</w:t>
            </w:r>
          </w:p>
        </w:tc>
        <w:tc>
          <w:tcPr>
            <w:tcW w:w="1385" w:type="dxa"/>
          </w:tcPr>
          <w:p>
            <w:pPr>
              <w:jc w:val="center"/>
              <w:rPr>
                <w:sz w:val="21"/>
                <w:szCs w:val="21"/>
              </w:rPr>
            </w:pPr>
            <w:r>
              <w:rPr>
                <w:sz w:val="21"/>
                <w:szCs w:val="21"/>
              </w:rPr>
              <w:t>9.66</w:t>
            </w:r>
          </w:p>
        </w:tc>
        <w:tc>
          <w:tcPr>
            <w:tcW w:w="1556" w:type="dxa"/>
          </w:tcPr>
          <w:p>
            <w:pPr>
              <w:jc w:val="center"/>
              <w:rPr>
                <w:sz w:val="21"/>
                <w:szCs w:val="21"/>
              </w:rPr>
            </w:pPr>
            <w:r>
              <w:rPr>
                <w:sz w:val="21"/>
                <w:szCs w:val="21"/>
              </w:rPr>
              <w:t>0.43</w:t>
            </w:r>
          </w:p>
        </w:tc>
        <w:tc>
          <w:tcPr>
            <w:tcW w:w="1556" w:type="dxa"/>
          </w:tcPr>
          <w:p>
            <w:pPr>
              <w:jc w:val="center"/>
              <w:rPr>
                <w:sz w:val="21"/>
                <w:szCs w:val="21"/>
              </w:rPr>
            </w:pPr>
            <w:r>
              <w:rPr>
                <w:sz w:val="21"/>
                <w:szCs w:val="21"/>
              </w:rPr>
              <w:t>0.95</w:t>
            </w:r>
          </w:p>
        </w:tc>
        <w:tc>
          <w:tcPr>
            <w:tcW w:w="1556" w:type="dxa"/>
          </w:tcPr>
          <w:p>
            <w:pPr>
              <w:jc w:val="center"/>
              <w:rPr>
                <w:sz w:val="21"/>
                <w:szCs w:val="21"/>
              </w:rPr>
            </w:pPr>
            <w:r>
              <w:rPr>
                <w:sz w:val="21"/>
                <w:szCs w:val="21"/>
              </w:rPr>
              <w:t>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2" w:type="dxa"/>
            <w:vMerge w:val="continue"/>
          </w:tcPr>
          <w:p>
            <w:pPr>
              <w:pStyle w:val="2"/>
              <w:jc w:val="center"/>
              <w:rPr>
                <w:sz w:val="21"/>
                <w:szCs w:val="21"/>
              </w:rPr>
            </w:pPr>
          </w:p>
        </w:tc>
        <w:tc>
          <w:tcPr>
            <w:tcW w:w="1227" w:type="dxa"/>
          </w:tcPr>
          <w:p>
            <w:pPr>
              <w:pStyle w:val="2"/>
              <w:jc w:val="center"/>
              <w:rPr>
                <w:sz w:val="21"/>
                <w:szCs w:val="21"/>
              </w:rPr>
            </w:pPr>
            <w:r>
              <w:rPr>
                <w:sz w:val="21"/>
                <w:szCs w:val="21"/>
              </w:rPr>
              <w:t>160701</w:t>
            </w:r>
          </w:p>
        </w:tc>
        <w:tc>
          <w:tcPr>
            <w:tcW w:w="1385" w:type="dxa"/>
          </w:tcPr>
          <w:p>
            <w:pPr>
              <w:jc w:val="center"/>
              <w:rPr>
                <w:sz w:val="21"/>
                <w:szCs w:val="21"/>
              </w:rPr>
            </w:pPr>
            <w:r>
              <w:rPr>
                <w:sz w:val="21"/>
                <w:szCs w:val="21"/>
              </w:rPr>
              <w:t>10.08</w:t>
            </w:r>
          </w:p>
        </w:tc>
        <w:tc>
          <w:tcPr>
            <w:tcW w:w="1556" w:type="dxa"/>
          </w:tcPr>
          <w:p>
            <w:pPr>
              <w:jc w:val="center"/>
              <w:rPr>
                <w:sz w:val="21"/>
                <w:szCs w:val="21"/>
              </w:rPr>
            </w:pPr>
            <w:r>
              <w:rPr>
                <w:sz w:val="21"/>
                <w:szCs w:val="21"/>
              </w:rPr>
              <w:t>0.49</w:t>
            </w:r>
          </w:p>
        </w:tc>
        <w:tc>
          <w:tcPr>
            <w:tcW w:w="1556" w:type="dxa"/>
          </w:tcPr>
          <w:p>
            <w:pPr>
              <w:jc w:val="center"/>
              <w:rPr>
                <w:sz w:val="21"/>
                <w:szCs w:val="21"/>
              </w:rPr>
            </w:pPr>
            <w:r>
              <w:rPr>
                <w:sz w:val="21"/>
                <w:szCs w:val="21"/>
              </w:rPr>
              <w:t>1.21</w:t>
            </w:r>
          </w:p>
        </w:tc>
        <w:tc>
          <w:tcPr>
            <w:tcW w:w="1556" w:type="dxa"/>
          </w:tcPr>
          <w:p>
            <w:pPr>
              <w:jc w:val="center"/>
              <w:rPr>
                <w:sz w:val="21"/>
                <w:szCs w:val="21"/>
              </w:rPr>
            </w:pPr>
            <w:r>
              <w:rPr>
                <w:sz w:val="21"/>
                <w:szCs w:val="21"/>
              </w:rPr>
              <w:t>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2" w:type="dxa"/>
            <w:vMerge w:val="restart"/>
            <w:vAlign w:val="center"/>
          </w:tcPr>
          <w:p>
            <w:pPr>
              <w:jc w:val="center"/>
              <w:rPr>
                <w:sz w:val="21"/>
                <w:szCs w:val="21"/>
              </w:rPr>
            </w:pPr>
            <w:r>
              <w:rPr>
                <w:rFonts w:hAnsi="Calibri"/>
                <w:sz w:val="21"/>
                <w:szCs w:val="21"/>
              </w:rPr>
              <w:t>红相</w:t>
            </w:r>
            <w:r>
              <w:rPr>
                <w:sz w:val="21"/>
                <w:szCs w:val="21"/>
              </w:rPr>
              <w:t>800</w:t>
            </w:r>
          </w:p>
        </w:tc>
        <w:tc>
          <w:tcPr>
            <w:tcW w:w="1227" w:type="dxa"/>
          </w:tcPr>
          <w:p>
            <w:pPr>
              <w:jc w:val="center"/>
              <w:rPr>
                <w:sz w:val="21"/>
                <w:szCs w:val="21"/>
              </w:rPr>
            </w:pPr>
            <w:r>
              <w:rPr>
                <w:sz w:val="21"/>
                <w:szCs w:val="21"/>
              </w:rPr>
              <w:t>131103</w:t>
            </w:r>
          </w:p>
        </w:tc>
        <w:tc>
          <w:tcPr>
            <w:tcW w:w="1385" w:type="dxa"/>
          </w:tcPr>
          <w:p>
            <w:pPr>
              <w:jc w:val="center"/>
              <w:rPr>
                <w:sz w:val="21"/>
                <w:szCs w:val="21"/>
              </w:rPr>
            </w:pPr>
            <w:r>
              <w:rPr>
                <w:sz w:val="21"/>
                <w:szCs w:val="21"/>
              </w:rPr>
              <w:t>8.61</w:t>
            </w:r>
          </w:p>
        </w:tc>
        <w:tc>
          <w:tcPr>
            <w:tcW w:w="1556" w:type="dxa"/>
          </w:tcPr>
          <w:p>
            <w:pPr>
              <w:jc w:val="center"/>
              <w:rPr>
                <w:sz w:val="21"/>
                <w:szCs w:val="21"/>
              </w:rPr>
            </w:pPr>
            <w:r>
              <w:rPr>
                <w:sz w:val="21"/>
                <w:szCs w:val="21"/>
              </w:rPr>
              <w:t>0.62</w:t>
            </w:r>
          </w:p>
        </w:tc>
        <w:tc>
          <w:tcPr>
            <w:tcW w:w="1556" w:type="dxa"/>
          </w:tcPr>
          <w:p>
            <w:pPr>
              <w:jc w:val="center"/>
              <w:rPr>
                <w:sz w:val="21"/>
                <w:szCs w:val="21"/>
              </w:rPr>
            </w:pPr>
            <w:r>
              <w:rPr>
                <w:sz w:val="21"/>
                <w:szCs w:val="21"/>
              </w:rPr>
              <w:t>0.75</w:t>
            </w:r>
          </w:p>
        </w:tc>
        <w:tc>
          <w:tcPr>
            <w:tcW w:w="1556" w:type="dxa"/>
          </w:tcPr>
          <w:p>
            <w:pPr>
              <w:jc w:val="center"/>
              <w:rPr>
                <w:sz w:val="21"/>
                <w:szCs w:val="21"/>
              </w:rPr>
            </w:pPr>
            <w:r>
              <w:rPr>
                <w:sz w:val="21"/>
                <w:szCs w:val="21"/>
              </w:rPr>
              <w:t>0.64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2" w:type="dxa"/>
            <w:vMerge w:val="continue"/>
          </w:tcPr>
          <w:p>
            <w:pPr>
              <w:pStyle w:val="2"/>
              <w:jc w:val="center"/>
              <w:rPr>
                <w:sz w:val="21"/>
                <w:szCs w:val="21"/>
              </w:rPr>
            </w:pPr>
          </w:p>
        </w:tc>
        <w:tc>
          <w:tcPr>
            <w:tcW w:w="1227" w:type="dxa"/>
          </w:tcPr>
          <w:p>
            <w:pPr>
              <w:pStyle w:val="2"/>
              <w:jc w:val="center"/>
              <w:rPr>
                <w:sz w:val="21"/>
                <w:szCs w:val="21"/>
              </w:rPr>
            </w:pPr>
            <w:r>
              <w:rPr>
                <w:sz w:val="21"/>
                <w:szCs w:val="21"/>
              </w:rPr>
              <w:t>160405</w:t>
            </w:r>
          </w:p>
        </w:tc>
        <w:tc>
          <w:tcPr>
            <w:tcW w:w="1385" w:type="dxa"/>
          </w:tcPr>
          <w:p>
            <w:pPr>
              <w:jc w:val="center"/>
              <w:rPr>
                <w:sz w:val="21"/>
                <w:szCs w:val="21"/>
              </w:rPr>
            </w:pPr>
            <w:r>
              <w:rPr>
                <w:sz w:val="21"/>
                <w:szCs w:val="21"/>
              </w:rPr>
              <w:t>8.77</w:t>
            </w:r>
          </w:p>
        </w:tc>
        <w:tc>
          <w:tcPr>
            <w:tcW w:w="1556" w:type="dxa"/>
          </w:tcPr>
          <w:p>
            <w:pPr>
              <w:jc w:val="center"/>
              <w:rPr>
                <w:sz w:val="21"/>
                <w:szCs w:val="21"/>
              </w:rPr>
            </w:pPr>
            <w:r>
              <w:rPr>
                <w:sz w:val="21"/>
                <w:szCs w:val="21"/>
              </w:rPr>
              <w:t>0.56</w:t>
            </w:r>
          </w:p>
        </w:tc>
        <w:tc>
          <w:tcPr>
            <w:tcW w:w="1556" w:type="dxa"/>
          </w:tcPr>
          <w:p>
            <w:pPr>
              <w:jc w:val="center"/>
              <w:rPr>
                <w:sz w:val="21"/>
                <w:szCs w:val="21"/>
              </w:rPr>
            </w:pPr>
            <w:r>
              <w:rPr>
                <w:sz w:val="21"/>
                <w:szCs w:val="21"/>
              </w:rPr>
              <w:t>0.95</w:t>
            </w:r>
          </w:p>
        </w:tc>
        <w:tc>
          <w:tcPr>
            <w:tcW w:w="1556" w:type="dxa"/>
          </w:tcPr>
          <w:p>
            <w:pPr>
              <w:jc w:val="center"/>
              <w:rPr>
                <w:sz w:val="21"/>
                <w:szCs w:val="21"/>
              </w:rPr>
            </w:pPr>
            <w:r>
              <w:rPr>
                <w:sz w:val="21"/>
                <w:szCs w:val="21"/>
              </w:rPr>
              <w:t>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2" w:type="dxa"/>
            <w:vMerge w:val="continue"/>
          </w:tcPr>
          <w:p>
            <w:pPr>
              <w:pStyle w:val="2"/>
              <w:jc w:val="center"/>
              <w:rPr>
                <w:sz w:val="21"/>
                <w:szCs w:val="21"/>
              </w:rPr>
            </w:pPr>
          </w:p>
        </w:tc>
        <w:tc>
          <w:tcPr>
            <w:tcW w:w="1227" w:type="dxa"/>
          </w:tcPr>
          <w:p>
            <w:pPr>
              <w:pStyle w:val="2"/>
              <w:jc w:val="center"/>
              <w:rPr>
                <w:sz w:val="21"/>
                <w:szCs w:val="21"/>
              </w:rPr>
            </w:pPr>
            <w:r>
              <w:rPr>
                <w:sz w:val="21"/>
                <w:szCs w:val="21"/>
              </w:rPr>
              <w:t>160906</w:t>
            </w:r>
          </w:p>
        </w:tc>
        <w:tc>
          <w:tcPr>
            <w:tcW w:w="1385" w:type="dxa"/>
          </w:tcPr>
          <w:p>
            <w:pPr>
              <w:jc w:val="center"/>
              <w:rPr>
                <w:sz w:val="21"/>
                <w:szCs w:val="21"/>
              </w:rPr>
            </w:pPr>
            <w:r>
              <w:rPr>
                <w:sz w:val="21"/>
                <w:szCs w:val="21"/>
              </w:rPr>
              <w:t>9.54</w:t>
            </w:r>
          </w:p>
        </w:tc>
        <w:tc>
          <w:tcPr>
            <w:tcW w:w="1556" w:type="dxa"/>
          </w:tcPr>
          <w:p>
            <w:pPr>
              <w:jc w:val="center"/>
              <w:rPr>
                <w:sz w:val="21"/>
                <w:szCs w:val="21"/>
              </w:rPr>
            </w:pPr>
            <w:r>
              <w:rPr>
                <w:sz w:val="21"/>
                <w:szCs w:val="21"/>
              </w:rPr>
              <w:t>3.03</w:t>
            </w:r>
          </w:p>
        </w:tc>
        <w:tc>
          <w:tcPr>
            <w:tcW w:w="1556" w:type="dxa"/>
          </w:tcPr>
          <w:p>
            <w:pPr>
              <w:jc w:val="center"/>
              <w:rPr>
                <w:sz w:val="21"/>
                <w:szCs w:val="21"/>
              </w:rPr>
            </w:pPr>
            <w:r>
              <w:rPr>
                <w:sz w:val="21"/>
                <w:szCs w:val="21"/>
              </w:rPr>
              <w:t>0.77</w:t>
            </w:r>
          </w:p>
        </w:tc>
        <w:tc>
          <w:tcPr>
            <w:tcW w:w="1556" w:type="dxa"/>
          </w:tcPr>
          <w:p>
            <w:pPr>
              <w:jc w:val="center"/>
              <w:rPr>
                <w:sz w:val="21"/>
                <w:szCs w:val="21"/>
              </w:rPr>
            </w:pPr>
            <w:r>
              <w:rPr>
                <w:sz w:val="21"/>
                <w:szCs w:val="21"/>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2" w:type="dxa"/>
            <w:vMerge w:val="restart"/>
            <w:vAlign w:val="center"/>
          </w:tcPr>
          <w:p>
            <w:pPr>
              <w:jc w:val="center"/>
              <w:rPr>
                <w:sz w:val="21"/>
                <w:szCs w:val="21"/>
              </w:rPr>
            </w:pPr>
            <w:r>
              <w:rPr>
                <w:sz w:val="21"/>
                <w:szCs w:val="21"/>
              </w:rPr>
              <w:t>463</w:t>
            </w:r>
          </w:p>
        </w:tc>
        <w:tc>
          <w:tcPr>
            <w:tcW w:w="1227" w:type="dxa"/>
          </w:tcPr>
          <w:p>
            <w:pPr>
              <w:jc w:val="center"/>
              <w:rPr>
                <w:sz w:val="21"/>
                <w:szCs w:val="21"/>
              </w:rPr>
            </w:pPr>
            <w:r>
              <w:rPr>
                <w:sz w:val="21"/>
                <w:szCs w:val="21"/>
              </w:rPr>
              <w:t>151106</w:t>
            </w:r>
          </w:p>
        </w:tc>
        <w:tc>
          <w:tcPr>
            <w:tcW w:w="1385" w:type="dxa"/>
          </w:tcPr>
          <w:p>
            <w:pPr>
              <w:jc w:val="center"/>
              <w:rPr>
                <w:sz w:val="21"/>
                <w:szCs w:val="21"/>
              </w:rPr>
            </w:pPr>
            <w:r>
              <w:rPr>
                <w:sz w:val="21"/>
                <w:szCs w:val="21"/>
              </w:rPr>
              <w:t>9.41</w:t>
            </w:r>
          </w:p>
        </w:tc>
        <w:tc>
          <w:tcPr>
            <w:tcW w:w="1556" w:type="dxa"/>
          </w:tcPr>
          <w:p>
            <w:pPr>
              <w:jc w:val="center"/>
              <w:rPr>
                <w:sz w:val="21"/>
                <w:szCs w:val="21"/>
              </w:rPr>
            </w:pPr>
            <w:r>
              <w:rPr>
                <w:sz w:val="21"/>
                <w:szCs w:val="21"/>
              </w:rPr>
              <w:t>1.38</w:t>
            </w:r>
          </w:p>
        </w:tc>
        <w:tc>
          <w:tcPr>
            <w:tcW w:w="1556" w:type="dxa"/>
          </w:tcPr>
          <w:p>
            <w:pPr>
              <w:jc w:val="center"/>
              <w:rPr>
                <w:sz w:val="21"/>
                <w:szCs w:val="21"/>
              </w:rPr>
            </w:pPr>
            <w:r>
              <w:rPr>
                <w:sz w:val="21"/>
                <w:szCs w:val="21"/>
              </w:rPr>
              <w:t>0.83</w:t>
            </w:r>
          </w:p>
        </w:tc>
        <w:tc>
          <w:tcPr>
            <w:tcW w:w="1556" w:type="dxa"/>
          </w:tcPr>
          <w:p>
            <w:pPr>
              <w:jc w:val="center"/>
              <w:rPr>
                <w:sz w:val="21"/>
                <w:szCs w:val="21"/>
              </w:rPr>
            </w:pPr>
            <w:r>
              <w:rPr>
                <w:sz w:val="21"/>
                <w:szCs w:val="21"/>
              </w:rPr>
              <w:t>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2" w:type="dxa"/>
            <w:vMerge w:val="continue"/>
          </w:tcPr>
          <w:p>
            <w:pPr>
              <w:pStyle w:val="2"/>
              <w:jc w:val="center"/>
            </w:pPr>
          </w:p>
        </w:tc>
        <w:tc>
          <w:tcPr>
            <w:tcW w:w="1227" w:type="dxa"/>
          </w:tcPr>
          <w:p>
            <w:pPr>
              <w:pStyle w:val="2"/>
              <w:jc w:val="center"/>
              <w:rPr>
                <w:sz w:val="21"/>
                <w:szCs w:val="21"/>
              </w:rPr>
            </w:pPr>
            <w:r>
              <w:rPr>
                <w:sz w:val="21"/>
                <w:szCs w:val="21"/>
              </w:rPr>
              <w:t>160904</w:t>
            </w:r>
          </w:p>
        </w:tc>
        <w:tc>
          <w:tcPr>
            <w:tcW w:w="1385" w:type="dxa"/>
          </w:tcPr>
          <w:p>
            <w:pPr>
              <w:jc w:val="center"/>
              <w:rPr>
                <w:sz w:val="21"/>
                <w:szCs w:val="21"/>
              </w:rPr>
            </w:pPr>
            <w:r>
              <w:rPr>
                <w:sz w:val="21"/>
                <w:szCs w:val="21"/>
              </w:rPr>
              <w:t>9.84</w:t>
            </w:r>
          </w:p>
        </w:tc>
        <w:tc>
          <w:tcPr>
            <w:tcW w:w="1556" w:type="dxa"/>
          </w:tcPr>
          <w:p>
            <w:pPr>
              <w:jc w:val="center"/>
              <w:rPr>
                <w:sz w:val="21"/>
                <w:szCs w:val="21"/>
              </w:rPr>
            </w:pPr>
            <w:r>
              <w:rPr>
                <w:sz w:val="21"/>
                <w:szCs w:val="21"/>
              </w:rPr>
              <w:t>0.04</w:t>
            </w:r>
          </w:p>
        </w:tc>
        <w:tc>
          <w:tcPr>
            <w:tcW w:w="1556" w:type="dxa"/>
          </w:tcPr>
          <w:p>
            <w:pPr>
              <w:jc w:val="center"/>
              <w:rPr>
                <w:sz w:val="21"/>
                <w:szCs w:val="21"/>
              </w:rPr>
            </w:pPr>
            <w:r>
              <w:rPr>
                <w:sz w:val="21"/>
                <w:szCs w:val="21"/>
              </w:rPr>
              <w:t>0.89</w:t>
            </w:r>
          </w:p>
        </w:tc>
        <w:tc>
          <w:tcPr>
            <w:tcW w:w="1556" w:type="dxa"/>
          </w:tcPr>
          <w:p>
            <w:pPr>
              <w:jc w:val="center"/>
              <w:rPr>
                <w:sz w:val="21"/>
                <w:szCs w:val="21"/>
              </w:rPr>
            </w:pPr>
            <w:r>
              <w:rPr>
                <w:sz w:val="21"/>
                <w:szCs w:val="21"/>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2" w:type="dxa"/>
            <w:vMerge w:val="continue"/>
          </w:tcPr>
          <w:p>
            <w:pPr>
              <w:pStyle w:val="2"/>
              <w:jc w:val="center"/>
            </w:pPr>
          </w:p>
        </w:tc>
        <w:tc>
          <w:tcPr>
            <w:tcW w:w="1227" w:type="dxa"/>
          </w:tcPr>
          <w:p>
            <w:pPr>
              <w:pStyle w:val="2"/>
              <w:jc w:val="center"/>
              <w:rPr>
                <w:sz w:val="21"/>
                <w:szCs w:val="21"/>
              </w:rPr>
            </w:pPr>
            <w:r>
              <w:rPr>
                <w:sz w:val="21"/>
                <w:szCs w:val="21"/>
              </w:rPr>
              <w:t>161005</w:t>
            </w:r>
          </w:p>
        </w:tc>
        <w:tc>
          <w:tcPr>
            <w:tcW w:w="1385" w:type="dxa"/>
          </w:tcPr>
          <w:p>
            <w:pPr>
              <w:jc w:val="center"/>
              <w:rPr>
                <w:sz w:val="21"/>
                <w:szCs w:val="21"/>
              </w:rPr>
            </w:pPr>
            <w:r>
              <w:rPr>
                <w:sz w:val="21"/>
                <w:szCs w:val="21"/>
              </w:rPr>
              <w:t>9.30</w:t>
            </w:r>
          </w:p>
        </w:tc>
        <w:tc>
          <w:tcPr>
            <w:tcW w:w="1556" w:type="dxa"/>
          </w:tcPr>
          <w:p>
            <w:pPr>
              <w:jc w:val="center"/>
              <w:rPr>
                <w:sz w:val="21"/>
                <w:szCs w:val="21"/>
              </w:rPr>
            </w:pPr>
            <w:r>
              <w:rPr>
                <w:sz w:val="21"/>
                <w:szCs w:val="21"/>
              </w:rPr>
              <w:t>0.30</w:t>
            </w:r>
          </w:p>
        </w:tc>
        <w:tc>
          <w:tcPr>
            <w:tcW w:w="1556" w:type="dxa"/>
          </w:tcPr>
          <w:p>
            <w:pPr>
              <w:jc w:val="center"/>
              <w:rPr>
                <w:sz w:val="21"/>
                <w:szCs w:val="21"/>
              </w:rPr>
            </w:pPr>
            <w:r>
              <w:rPr>
                <w:sz w:val="21"/>
                <w:szCs w:val="21"/>
              </w:rPr>
              <w:t>0.85</w:t>
            </w:r>
          </w:p>
        </w:tc>
        <w:tc>
          <w:tcPr>
            <w:tcW w:w="1556" w:type="dxa"/>
          </w:tcPr>
          <w:p>
            <w:pPr>
              <w:jc w:val="center"/>
              <w:rPr>
                <w:sz w:val="21"/>
                <w:szCs w:val="21"/>
              </w:rPr>
            </w:pPr>
            <w:r>
              <w:rPr>
                <w:sz w:val="21"/>
                <w:szCs w:val="21"/>
              </w:rPr>
              <w:t>1.03</w:t>
            </w:r>
          </w:p>
        </w:tc>
      </w:tr>
    </w:tbl>
    <w:p>
      <w:pPr>
        <w:ind w:firstLine="480"/>
      </w:pPr>
      <w:r>
        <w:rPr>
          <w:rFonts w:hint="eastAsia"/>
        </w:rPr>
        <w:t xml:space="preserve">由筛余物的测定结果可知，使用45 </w:t>
      </w:r>
      <w:r>
        <w:t>μm</w:t>
      </w:r>
      <w:r>
        <w:rPr>
          <w:rFonts w:hint="eastAsia"/>
        </w:rPr>
        <w:t xml:space="preserve">孔径的筛网进行实验时，测定的筛余物含量均比设定的筛余物标准值大。经过专家组的讨论，一致认为需要更改筛余物的标准值或增大筛网的孔径。经讨论商定，实验过程中采用63 </w:t>
      </w:r>
      <w:r>
        <w:t>μm</w:t>
      </w:r>
      <w:r>
        <w:rPr>
          <w:rFonts w:hint="eastAsia"/>
        </w:rPr>
        <w:t>孔径的筛网进行实验。实验所得结果见下表，由实验结果可得，筛余物的质量分数均符合设定的标准值。</w:t>
      </w:r>
    </w:p>
    <w:tbl>
      <w:tblPr>
        <w:tblStyle w:val="12"/>
        <w:tblW w:w="4925" w:type="dxa"/>
        <w:jc w:val="center"/>
        <w:tblInd w:w="-5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1442"/>
        <w:gridCol w:w="19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13" w:type="dxa"/>
            <w:gridSpan w:val="2"/>
            <w:vAlign w:val="center"/>
          </w:tcPr>
          <w:p>
            <w:pPr>
              <w:pStyle w:val="2"/>
              <w:jc w:val="center"/>
              <w:rPr>
                <w:rFonts w:ascii="Calibri" w:hAnsi="Calibri"/>
                <w:sz w:val="21"/>
                <w:szCs w:val="21"/>
              </w:rPr>
            </w:pPr>
            <w:r>
              <w:rPr>
                <w:rFonts w:hint="eastAsia" w:ascii="Calibri" w:hAnsi="Calibri"/>
                <w:sz w:val="21"/>
                <w:szCs w:val="21"/>
              </w:rPr>
              <w:t>颜料名称</w:t>
            </w:r>
          </w:p>
        </w:tc>
        <w:tc>
          <w:tcPr>
            <w:tcW w:w="1912" w:type="dxa"/>
          </w:tcPr>
          <w:p>
            <w:pPr>
              <w:pStyle w:val="2"/>
              <w:jc w:val="center"/>
              <w:rPr>
                <w:sz w:val="21"/>
                <w:szCs w:val="21"/>
              </w:rPr>
            </w:pPr>
            <w:r>
              <w:rPr>
                <w:rFonts w:hint="eastAsia" w:ascii="Calibri" w:hAnsi="Calibri"/>
                <w:sz w:val="21"/>
                <w:szCs w:val="21"/>
              </w:rPr>
              <w:t>筛余物/</w:t>
            </w:r>
            <w:r>
              <w:rPr>
                <w:sz w:val="21"/>
                <w:szCs w:val="21"/>
              </w:rPr>
              <w:t>%</w:t>
            </w:r>
          </w:p>
          <w:p>
            <w:pPr>
              <w:pStyle w:val="2"/>
              <w:jc w:val="center"/>
              <w:rPr>
                <w:rFonts w:ascii="Calibri" w:hAnsi="Calibri"/>
                <w:sz w:val="21"/>
                <w:szCs w:val="21"/>
              </w:rPr>
            </w:pPr>
            <w:r>
              <w:rPr>
                <w:rFonts w:hint="eastAsia" w:ascii="Calibri" w:hAnsi="Calibri"/>
                <w:sz w:val="21"/>
                <w:szCs w:val="21"/>
              </w:rPr>
              <w:t>（≤</w:t>
            </w:r>
            <w:r>
              <w:rPr>
                <w:sz w:val="21"/>
                <w:szCs w:val="21"/>
              </w:rPr>
              <w:t>0.5</w:t>
            </w:r>
            <w:r>
              <w:rPr>
                <w:rFonts w:hint="eastAsia"/>
                <w:sz w:val="21"/>
                <w:szCs w:val="21"/>
              </w:rPr>
              <w:t>0</w:t>
            </w:r>
            <w:r>
              <w:rPr>
                <w:rFonts w:hint="eastAsia" w:ascii="Calibri" w:hAnsi="Calibri"/>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1" w:type="dxa"/>
            <w:vMerge w:val="restart"/>
            <w:vAlign w:val="center"/>
          </w:tcPr>
          <w:p>
            <w:pPr>
              <w:jc w:val="center"/>
              <w:rPr>
                <w:sz w:val="21"/>
                <w:szCs w:val="21"/>
              </w:rPr>
            </w:pPr>
            <w:r>
              <w:rPr>
                <w:rFonts w:hAnsi="Calibri"/>
                <w:sz w:val="21"/>
                <w:szCs w:val="21"/>
              </w:rPr>
              <w:t>兰相</w:t>
            </w:r>
            <w:r>
              <w:rPr>
                <w:sz w:val="21"/>
                <w:szCs w:val="21"/>
              </w:rPr>
              <w:t>TL1515</w:t>
            </w:r>
          </w:p>
        </w:tc>
        <w:tc>
          <w:tcPr>
            <w:tcW w:w="1442" w:type="dxa"/>
          </w:tcPr>
          <w:p>
            <w:pPr>
              <w:jc w:val="center"/>
              <w:rPr>
                <w:sz w:val="21"/>
                <w:szCs w:val="21"/>
              </w:rPr>
            </w:pPr>
            <w:r>
              <w:rPr>
                <w:sz w:val="21"/>
                <w:szCs w:val="21"/>
              </w:rPr>
              <w:t>150105</w:t>
            </w:r>
          </w:p>
        </w:tc>
        <w:tc>
          <w:tcPr>
            <w:tcW w:w="1912" w:type="dxa"/>
          </w:tcPr>
          <w:p>
            <w:pPr>
              <w:jc w:val="center"/>
              <w:rPr>
                <w:sz w:val="21"/>
                <w:szCs w:val="21"/>
              </w:rPr>
            </w:pPr>
            <w:r>
              <w:rPr>
                <w:rFonts w:hint="eastAsia"/>
                <w:sz w:val="21"/>
                <w:szCs w:val="21"/>
              </w:rPr>
              <w:t>0.46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1" w:type="dxa"/>
            <w:vMerge w:val="continue"/>
          </w:tcPr>
          <w:p>
            <w:pPr>
              <w:pStyle w:val="2"/>
              <w:jc w:val="center"/>
              <w:rPr>
                <w:sz w:val="21"/>
                <w:szCs w:val="21"/>
              </w:rPr>
            </w:pPr>
          </w:p>
        </w:tc>
        <w:tc>
          <w:tcPr>
            <w:tcW w:w="1442" w:type="dxa"/>
          </w:tcPr>
          <w:p>
            <w:pPr>
              <w:pStyle w:val="2"/>
              <w:jc w:val="center"/>
              <w:rPr>
                <w:sz w:val="21"/>
                <w:szCs w:val="21"/>
              </w:rPr>
            </w:pPr>
            <w:r>
              <w:rPr>
                <w:sz w:val="21"/>
                <w:szCs w:val="21"/>
              </w:rPr>
              <w:t>1</w:t>
            </w:r>
            <w:r>
              <w:rPr>
                <w:rFonts w:hint="eastAsia"/>
                <w:sz w:val="21"/>
                <w:szCs w:val="21"/>
              </w:rPr>
              <w:t>5</w:t>
            </w:r>
            <w:r>
              <w:rPr>
                <w:sz w:val="21"/>
                <w:szCs w:val="21"/>
              </w:rPr>
              <w:t>090</w:t>
            </w:r>
            <w:r>
              <w:rPr>
                <w:rFonts w:hint="eastAsia"/>
                <w:sz w:val="21"/>
                <w:szCs w:val="21"/>
              </w:rPr>
              <w:t>3</w:t>
            </w:r>
          </w:p>
        </w:tc>
        <w:tc>
          <w:tcPr>
            <w:tcW w:w="1912" w:type="dxa"/>
          </w:tcPr>
          <w:p>
            <w:pPr>
              <w:jc w:val="center"/>
              <w:rPr>
                <w:sz w:val="21"/>
                <w:szCs w:val="21"/>
              </w:rPr>
            </w:pPr>
            <w:r>
              <w:rPr>
                <w:rFonts w:hint="eastAsia"/>
                <w:sz w:val="21"/>
                <w:szCs w:val="21"/>
              </w:rPr>
              <w:t>0.42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1" w:type="dxa"/>
            <w:vMerge w:val="continue"/>
          </w:tcPr>
          <w:p>
            <w:pPr>
              <w:pStyle w:val="2"/>
              <w:jc w:val="center"/>
              <w:rPr>
                <w:sz w:val="21"/>
                <w:szCs w:val="21"/>
              </w:rPr>
            </w:pPr>
          </w:p>
        </w:tc>
        <w:tc>
          <w:tcPr>
            <w:tcW w:w="1442" w:type="dxa"/>
          </w:tcPr>
          <w:p>
            <w:pPr>
              <w:pStyle w:val="2"/>
              <w:jc w:val="center"/>
              <w:rPr>
                <w:sz w:val="21"/>
                <w:szCs w:val="21"/>
              </w:rPr>
            </w:pPr>
            <w:r>
              <w:rPr>
                <w:sz w:val="21"/>
                <w:szCs w:val="21"/>
              </w:rPr>
              <w:t>160701</w:t>
            </w:r>
          </w:p>
        </w:tc>
        <w:tc>
          <w:tcPr>
            <w:tcW w:w="1912" w:type="dxa"/>
          </w:tcPr>
          <w:p>
            <w:pPr>
              <w:jc w:val="center"/>
              <w:rPr>
                <w:sz w:val="21"/>
                <w:szCs w:val="21"/>
              </w:rPr>
            </w:pPr>
            <w:r>
              <w:rPr>
                <w:rFonts w:hint="eastAsia"/>
                <w:sz w:val="21"/>
                <w:szCs w:val="21"/>
              </w:rPr>
              <w:t>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1" w:type="dxa"/>
            <w:vMerge w:val="restart"/>
            <w:vAlign w:val="center"/>
          </w:tcPr>
          <w:p>
            <w:pPr>
              <w:jc w:val="center"/>
              <w:rPr>
                <w:sz w:val="21"/>
                <w:szCs w:val="21"/>
              </w:rPr>
            </w:pPr>
            <w:r>
              <w:rPr>
                <w:rFonts w:hAnsi="Calibri"/>
                <w:sz w:val="21"/>
                <w:szCs w:val="21"/>
              </w:rPr>
              <w:t>红相</w:t>
            </w:r>
            <w:r>
              <w:rPr>
                <w:sz w:val="21"/>
                <w:szCs w:val="21"/>
              </w:rPr>
              <w:t>800</w:t>
            </w:r>
          </w:p>
        </w:tc>
        <w:tc>
          <w:tcPr>
            <w:tcW w:w="1442" w:type="dxa"/>
          </w:tcPr>
          <w:p>
            <w:pPr>
              <w:jc w:val="center"/>
              <w:rPr>
                <w:sz w:val="21"/>
                <w:szCs w:val="21"/>
              </w:rPr>
            </w:pPr>
            <w:r>
              <w:rPr>
                <w:sz w:val="21"/>
                <w:szCs w:val="21"/>
              </w:rPr>
              <w:t>131103</w:t>
            </w:r>
          </w:p>
        </w:tc>
        <w:tc>
          <w:tcPr>
            <w:tcW w:w="1912" w:type="dxa"/>
          </w:tcPr>
          <w:p>
            <w:pPr>
              <w:jc w:val="center"/>
              <w:rPr>
                <w:sz w:val="21"/>
                <w:szCs w:val="21"/>
              </w:rPr>
            </w:pPr>
            <w:r>
              <w:rPr>
                <w:rFonts w:hint="eastAsia"/>
                <w:sz w:val="21"/>
                <w:szCs w:val="21"/>
              </w:rPr>
              <w:t>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1" w:type="dxa"/>
            <w:vMerge w:val="continue"/>
          </w:tcPr>
          <w:p>
            <w:pPr>
              <w:pStyle w:val="2"/>
              <w:jc w:val="center"/>
              <w:rPr>
                <w:sz w:val="21"/>
                <w:szCs w:val="21"/>
              </w:rPr>
            </w:pPr>
          </w:p>
        </w:tc>
        <w:tc>
          <w:tcPr>
            <w:tcW w:w="1442" w:type="dxa"/>
          </w:tcPr>
          <w:p>
            <w:pPr>
              <w:pStyle w:val="2"/>
              <w:jc w:val="center"/>
              <w:rPr>
                <w:sz w:val="21"/>
                <w:szCs w:val="21"/>
              </w:rPr>
            </w:pPr>
            <w:r>
              <w:rPr>
                <w:sz w:val="21"/>
                <w:szCs w:val="21"/>
              </w:rPr>
              <w:t>160405</w:t>
            </w:r>
          </w:p>
        </w:tc>
        <w:tc>
          <w:tcPr>
            <w:tcW w:w="1912" w:type="dxa"/>
          </w:tcPr>
          <w:p>
            <w:pPr>
              <w:jc w:val="center"/>
              <w:rPr>
                <w:sz w:val="21"/>
                <w:szCs w:val="21"/>
              </w:rPr>
            </w:pPr>
            <w:r>
              <w:rPr>
                <w:rFonts w:hint="eastAsia"/>
                <w:sz w:val="21"/>
                <w:szCs w:val="21"/>
              </w:rPr>
              <w:t>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1" w:type="dxa"/>
            <w:vMerge w:val="continue"/>
          </w:tcPr>
          <w:p>
            <w:pPr>
              <w:pStyle w:val="2"/>
              <w:jc w:val="center"/>
              <w:rPr>
                <w:sz w:val="21"/>
                <w:szCs w:val="21"/>
              </w:rPr>
            </w:pPr>
          </w:p>
        </w:tc>
        <w:tc>
          <w:tcPr>
            <w:tcW w:w="1442" w:type="dxa"/>
          </w:tcPr>
          <w:p>
            <w:pPr>
              <w:pStyle w:val="2"/>
              <w:jc w:val="center"/>
              <w:rPr>
                <w:sz w:val="21"/>
                <w:szCs w:val="21"/>
              </w:rPr>
            </w:pPr>
            <w:r>
              <w:rPr>
                <w:sz w:val="21"/>
                <w:szCs w:val="21"/>
              </w:rPr>
              <w:t>160906</w:t>
            </w:r>
          </w:p>
        </w:tc>
        <w:tc>
          <w:tcPr>
            <w:tcW w:w="1912" w:type="dxa"/>
          </w:tcPr>
          <w:p>
            <w:pPr>
              <w:jc w:val="center"/>
              <w:rPr>
                <w:sz w:val="21"/>
                <w:szCs w:val="21"/>
              </w:rPr>
            </w:pPr>
            <w:r>
              <w:rPr>
                <w:rFonts w:hint="eastAsia"/>
                <w:sz w:val="21"/>
                <w:szCs w:val="21"/>
              </w:rPr>
              <w:t>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1" w:type="dxa"/>
            <w:vMerge w:val="restart"/>
            <w:vAlign w:val="center"/>
          </w:tcPr>
          <w:p>
            <w:pPr>
              <w:jc w:val="center"/>
              <w:rPr>
                <w:sz w:val="21"/>
                <w:szCs w:val="21"/>
              </w:rPr>
            </w:pPr>
            <w:r>
              <w:rPr>
                <w:sz w:val="21"/>
                <w:szCs w:val="21"/>
              </w:rPr>
              <w:t>463</w:t>
            </w:r>
          </w:p>
        </w:tc>
        <w:tc>
          <w:tcPr>
            <w:tcW w:w="1442" w:type="dxa"/>
          </w:tcPr>
          <w:p>
            <w:pPr>
              <w:jc w:val="center"/>
              <w:rPr>
                <w:sz w:val="21"/>
                <w:szCs w:val="21"/>
              </w:rPr>
            </w:pPr>
            <w:r>
              <w:rPr>
                <w:sz w:val="21"/>
                <w:szCs w:val="21"/>
              </w:rPr>
              <w:t>151106</w:t>
            </w:r>
          </w:p>
        </w:tc>
        <w:tc>
          <w:tcPr>
            <w:tcW w:w="1912" w:type="dxa"/>
          </w:tcPr>
          <w:p>
            <w:pPr>
              <w:jc w:val="center"/>
              <w:rPr>
                <w:sz w:val="21"/>
                <w:szCs w:val="21"/>
              </w:rPr>
            </w:pPr>
            <w:r>
              <w:rPr>
                <w:rFonts w:hint="eastAsia"/>
                <w:sz w:val="21"/>
                <w:szCs w:val="21"/>
              </w:rPr>
              <w:t>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1" w:type="dxa"/>
            <w:vMerge w:val="continue"/>
          </w:tcPr>
          <w:p>
            <w:pPr>
              <w:pStyle w:val="2"/>
              <w:jc w:val="center"/>
            </w:pPr>
          </w:p>
        </w:tc>
        <w:tc>
          <w:tcPr>
            <w:tcW w:w="1442" w:type="dxa"/>
          </w:tcPr>
          <w:p>
            <w:pPr>
              <w:pStyle w:val="2"/>
              <w:jc w:val="center"/>
              <w:rPr>
                <w:sz w:val="21"/>
                <w:szCs w:val="21"/>
              </w:rPr>
            </w:pPr>
            <w:r>
              <w:rPr>
                <w:sz w:val="21"/>
                <w:szCs w:val="21"/>
              </w:rPr>
              <w:t>160904</w:t>
            </w:r>
          </w:p>
        </w:tc>
        <w:tc>
          <w:tcPr>
            <w:tcW w:w="1912" w:type="dxa"/>
          </w:tcPr>
          <w:p>
            <w:pPr>
              <w:jc w:val="center"/>
              <w:rPr>
                <w:sz w:val="21"/>
                <w:szCs w:val="21"/>
              </w:rPr>
            </w:pPr>
            <w:r>
              <w:rPr>
                <w:rFonts w:hint="eastAsia"/>
                <w:sz w:val="21"/>
                <w:szCs w:val="21"/>
              </w:rPr>
              <w:t>0.41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71" w:type="dxa"/>
            <w:vMerge w:val="continue"/>
          </w:tcPr>
          <w:p>
            <w:pPr>
              <w:pStyle w:val="2"/>
              <w:jc w:val="center"/>
            </w:pPr>
          </w:p>
        </w:tc>
        <w:tc>
          <w:tcPr>
            <w:tcW w:w="1442" w:type="dxa"/>
          </w:tcPr>
          <w:p>
            <w:pPr>
              <w:pStyle w:val="2"/>
              <w:jc w:val="center"/>
              <w:rPr>
                <w:sz w:val="21"/>
                <w:szCs w:val="21"/>
              </w:rPr>
            </w:pPr>
            <w:r>
              <w:rPr>
                <w:sz w:val="21"/>
                <w:szCs w:val="21"/>
              </w:rPr>
              <w:t>161005</w:t>
            </w:r>
          </w:p>
        </w:tc>
        <w:tc>
          <w:tcPr>
            <w:tcW w:w="1912" w:type="dxa"/>
          </w:tcPr>
          <w:p>
            <w:pPr>
              <w:jc w:val="center"/>
              <w:rPr>
                <w:sz w:val="21"/>
                <w:szCs w:val="21"/>
              </w:rPr>
            </w:pPr>
            <w:r>
              <w:rPr>
                <w:rFonts w:hint="eastAsia"/>
                <w:sz w:val="21"/>
                <w:szCs w:val="21"/>
              </w:rPr>
              <w:t>0.20</w:t>
            </w:r>
          </w:p>
        </w:tc>
      </w:tr>
    </w:tbl>
    <w:p>
      <w:pPr>
        <w:pStyle w:val="5"/>
      </w:pPr>
      <w:r>
        <w:rPr>
          <w:rFonts w:hint="eastAsia"/>
        </w:rPr>
        <w:t>3.1.2 颜色的实验结果</w:t>
      </w:r>
    </w:p>
    <w:p>
      <w:r>
        <w:rPr>
          <w:rFonts w:hint="eastAsia"/>
        </w:rPr>
        <w:t xml:space="preserve">    颜料颜色的比较反应了样品与参比样品之间颜色的差别。结果以试样与参比样色差△E*表示。依据推荐性国家标准GB/T 1864</w:t>
      </w:r>
      <w:bookmarkStart w:id="0" w:name="OLE_LINK31"/>
      <w:bookmarkStart w:id="1" w:name="OLE_LINK32"/>
      <w:r>
        <w:rPr>
          <w:rFonts w:hint="eastAsia"/>
        </w:rPr>
        <w:t>－2012</w:t>
      </w:r>
      <w:bookmarkEnd w:id="0"/>
      <w:bookmarkEnd w:id="1"/>
      <w:r>
        <w:rPr>
          <w:rFonts w:hint="eastAsia"/>
        </w:rPr>
        <w:t>可测得其色差△E*的结果，如表2所示。从表2中可以看出，兰相和红相系列的群青产品的色差△E*均在1.0以内，而463系列的群青产品的色差△E*则相对较高。</w:t>
      </w:r>
    </w:p>
    <w:p>
      <w:pPr>
        <w:jc w:val="center"/>
        <w:rPr>
          <w:sz w:val="21"/>
          <w:szCs w:val="21"/>
        </w:rPr>
      </w:pPr>
      <w:r>
        <w:rPr>
          <w:rFonts w:hint="eastAsia"/>
          <w:sz w:val="21"/>
          <w:szCs w:val="21"/>
        </w:rPr>
        <w:t>表2 色差的实验结果</w:t>
      </w:r>
    </w:p>
    <w:tbl>
      <w:tblPr>
        <w:tblStyle w:val="12"/>
        <w:tblW w:w="55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4"/>
        <w:gridCol w:w="1701"/>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75" w:type="dxa"/>
            <w:gridSpan w:val="2"/>
          </w:tcPr>
          <w:p>
            <w:pPr>
              <w:pStyle w:val="2"/>
              <w:jc w:val="center"/>
              <w:rPr>
                <w:rFonts w:ascii="Calibri" w:hAnsi="Calibri"/>
                <w:sz w:val="21"/>
                <w:szCs w:val="21"/>
              </w:rPr>
            </w:pPr>
            <w:r>
              <w:rPr>
                <w:rFonts w:hint="eastAsia" w:ascii="Calibri" w:hAnsi="Calibri"/>
                <w:sz w:val="21"/>
                <w:szCs w:val="21"/>
              </w:rPr>
              <w:t>颜料名称</w:t>
            </w:r>
          </w:p>
        </w:tc>
        <w:tc>
          <w:tcPr>
            <w:tcW w:w="2127" w:type="dxa"/>
          </w:tcPr>
          <w:p>
            <w:pPr>
              <w:jc w:val="center"/>
              <w:rPr>
                <w:rFonts w:hAnsi="Calibri"/>
                <w:sz w:val="21"/>
                <w:szCs w:val="21"/>
              </w:rPr>
            </w:pPr>
            <w:r>
              <w:rPr>
                <w:rFonts w:hint="eastAsia" w:hAnsi="Calibri"/>
                <w:sz w:val="21"/>
                <w:szCs w:val="21"/>
              </w:rPr>
              <w:t>色差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74" w:type="dxa"/>
            <w:vMerge w:val="restart"/>
            <w:vAlign w:val="center"/>
          </w:tcPr>
          <w:p>
            <w:pPr>
              <w:jc w:val="center"/>
              <w:rPr>
                <w:sz w:val="21"/>
                <w:szCs w:val="21"/>
              </w:rPr>
            </w:pPr>
            <w:r>
              <w:rPr>
                <w:rFonts w:hAnsi="Calibri"/>
                <w:sz w:val="21"/>
                <w:szCs w:val="21"/>
              </w:rPr>
              <w:t>兰相</w:t>
            </w:r>
            <w:r>
              <w:rPr>
                <w:sz w:val="21"/>
                <w:szCs w:val="21"/>
              </w:rPr>
              <w:t>TL1515</w:t>
            </w:r>
          </w:p>
        </w:tc>
        <w:tc>
          <w:tcPr>
            <w:tcW w:w="1701" w:type="dxa"/>
          </w:tcPr>
          <w:p>
            <w:pPr>
              <w:jc w:val="center"/>
              <w:rPr>
                <w:sz w:val="21"/>
                <w:szCs w:val="21"/>
              </w:rPr>
            </w:pPr>
            <w:r>
              <w:rPr>
                <w:sz w:val="21"/>
                <w:szCs w:val="21"/>
              </w:rPr>
              <w:t>150105</w:t>
            </w:r>
          </w:p>
        </w:tc>
        <w:tc>
          <w:tcPr>
            <w:tcW w:w="2127" w:type="dxa"/>
          </w:tcPr>
          <w:p>
            <w:pPr>
              <w:jc w:val="center"/>
              <w:rPr>
                <w:rFonts w:hAnsi="Calibri"/>
                <w:sz w:val="21"/>
                <w:szCs w:val="21"/>
              </w:rPr>
            </w:pPr>
            <w:r>
              <w:rPr>
                <w:rFonts w:hint="eastAsia" w:hAnsi="Calibri"/>
                <w:sz w:val="21"/>
                <w:szCs w:val="21"/>
              </w:rPr>
              <w:t>参比样品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74" w:type="dxa"/>
            <w:vMerge w:val="continue"/>
          </w:tcPr>
          <w:p>
            <w:pPr>
              <w:pStyle w:val="2"/>
              <w:jc w:val="center"/>
              <w:rPr>
                <w:sz w:val="21"/>
                <w:szCs w:val="21"/>
              </w:rPr>
            </w:pPr>
          </w:p>
        </w:tc>
        <w:tc>
          <w:tcPr>
            <w:tcW w:w="1701" w:type="dxa"/>
          </w:tcPr>
          <w:p>
            <w:pPr>
              <w:pStyle w:val="2"/>
              <w:jc w:val="center"/>
              <w:rPr>
                <w:sz w:val="21"/>
                <w:szCs w:val="21"/>
              </w:rPr>
            </w:pPr>
            <w:r>
              <w:rPr>
                <w:sz w:val="21"/>
                <w:szCs w:val="21"/>
              </w:rPr>
              <w:t>1</w:t>
            </w:r>
            <w:r>
              <w:rPr>
                <w:rFonts w:hint="eastAsia"/>
                <w:sz w:val="21"/>
                <w:szCs w:val="21"/>
              </w:rPr>
              <w:t>5</w:t>
            </w:r>
            <w:r>
              <w:rPr>
                <w:sz w:val="21"/>
                <w:szCs w:val="21"/>
              </w:rPr>
              <w:t>090</w:t>
            </w:r>
            <w:r>
              <w:rPr>
                <w:rFonts w:hint="eastAsia"/>
                <w:sz w:val="21"/>
                <w:szCs w:val="21"/>
              </w:rPr>
              <w:t>3</w:t>
            </w:r>
          </w:p>
        </w:tc>
        <w:tc>
          <w:tcPr>
            <w:tcW w:w="2127" w:type="dxa"/>
          </w:tcPr>
          <w:p>
            <w:pPr>
              <w:jc w:val="center"/>
              <w:rPr>
                <w:rFonts w:hAnsi="Calibri"/>
                <w:sz w:val="21"/>
                <w:szCs w:val="21"/>
              </w:rPr>
            </w:pPr>
            <w:r>
              <w:rPr>
                <w:rFonts w:hint="eastAsia" w:hAnsi="Calibri"/>
                <w:sz w:val="21"/>
                <w:szCs w:val="21"/>
              </w:rPr>
              <w:t>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74" w:type="dxa"/>
            <w:vMerge w:val="continue"/>
          </w:tcPr>
          <w:p>
            <w:pPr>
              <w:pStyle w:val="2"/>
              <w:jc w:val="center"/>
              <w:rPr>
                <w:sz w:val="21"/>
                <w:szCs w:val="21"/>
              </w:rPr>
            </w:pPr>
          </w:p>
        </w:tc>
        <w:tc>
          <w:tcPr>
            <w:tcW w:w="1701" w:type="dxa"/>
          </w:tcPr>
          <w:p>
            <w:pPr>
              <w:pStyle w:val="2"/>
              <w:jc w:val="center"/>
              <w:rPr>
                <w:sz w:val="21"/>
                <w:szCs w:val="21"/>
              </w:rPr>
            </w:pPr>
            <w:r>
              <w:rPr>
                <w:sz w:val="21"/>
                <w:szCs w:val="21"/>
              </w:rPr>
              <w:t>160701</w:t>
            </w:r>
          </w:p>
        </w:tc>
        <w:tc>
          <w:tcPr>
            <w:tcW w:w="2127" w:type="dxa"/>
          </w:tcPr>
          <w:p>
            <w:pPr>
              <w:jc w:val="center"/>
              <w:rPr>
                <w:rFonts w:hAnsi="Calibri"/>
                <w:sz w:val="21"/>
                <w:szCs w:val="21"/>
              </w:rPr>
            </w:pPr>
            <w:r>
              <w:rPr>
                <w:rFonts w:hint="eastAsia" w:hAnsi="Calibri"/>
                <w:sz w:val="21"/>
                <w:szCs w:val="21"/>
              </w:rPr>
              <w:t>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74" w:type="dxa"/>
            <w:vMerge w:val="restart"/>
            <w:vAlign w:val="center"/>
          </w:tcPr>
          <w:p>
            <w:pPr>
              <w:jc w:val="center"/>
              <w:rPr>
                <w:sz w:val="21"/>
                <w:szCs w:val="21"/>
              </w:rPr>
            </w:pPr>
            <w:r>
              <w:rPr>
                <w:rFonts w:hAnsi="Calibri"/>
                <w:sz w:val="21"/>
                <w:szCs w:val="21"/>
              </w:rPr>
              <w:t>红相</w:t>
            </w:r>
            <w:r>
              <w:rPr>
                <w:sz w:val="21"/>
                <w:szCs w:val="21"/>
              </w:rPr>
              <w:t>800</w:t>
            </w:r>
          </w:p>
        </w:tc>
        <w:tc>
          <w:tcPr>
            <w:tcW w:w="1701" w:type="dxa"/>
          </w:tcPr>
          <w:p>
            <w:pPr>
              <w:jc w:val="center"/>
              <w:rPr>
                <w:sz w:val="21"/>
                <w:szCs w:val="21"/>
              </w:rPr>
            </w:pPr>
            <w:r>
              <w:rPr>
                <w:sz w:val="21"/>
                <w:szCs w:val="21"/>
              </w:rPr>
              <w:t>131103</w:t>
            </w:r>
          </w:p>
        </w:tc>
        <w:tc>
          <w:tcPr>
            <w:tcW w:w="2127" w:type="dxa"/>
          </w:tcPr>
          <w:p>
            <w:pPr>
              <w:jc w:val="center"/>
              <w:rPr>
                <w:rFonts w:hAnsi="Calibri"/>
                <w:sz w:val="21"/>
                <w:szCs w:val="21"/>
              </w:rPr>
            </w:pPr>
            <w:r>
              <w:rPr>
                <w:rFonts w:hint="eastAsia" w:hAnsi="Calibri"/>
                <w:sz w:val="21"/>
                <w:szCs w:val="21"/>
              </w:rPr>
              <w:t>参比样品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74" w:type="dxa"/>
            <w:vMerge w:val="continue"/>
          </w:tcPr>
          <w:p>
            <w:pPr>
              <w:pStyle w:val="2"/>
              <w:jc w:val="center"/>
              <w:rPr>
                <w:sz w:val="21"/>
                <w:szCs w:val="21"/>
              </w:rPr>
            </w:pPr>
          </w:p>
        </w:tc>
        <w:tc>
          <w:tcPr>
            <w:tcW w:w="1701" w:type="dxa"/>
          </w:tcPr>
          <w:p>
            <w:pPr>
              <w:pStyle w:val="2"/>
              <w:jc w:val="center"/>
              <w:rPr>
                <w:sz w:val="21"/>
                <w:szCs w:val="21"/>
              </w:rPr>
            </w:pPr>
            <w:r>
              <w:rPr>
                <w:sz w:val="21"/>
                <w:szCs w:val="21"/>
              </w:rPr>
              <w:t>160405</w:t>
            </w:r>
          </w:p>
        </w:tc>
        <w:tc>
          <w:tcPr>
            <w:tcW w:w="2127" w:type="dxa"/>
          </w:tcPr>
          <w:p>
            <w:pPr>
              <w:jc w:val="center"/>
              <w:rPr>
                <w:rFonts w:hAnsi="Calibri"/>
                <w:sz w:val="21"/>
                <w:szCs w:val="21"/>
              </w:rPr>
            </w:pPr>
            <w:r>
              <w:rPr>
                <w:rFonts w:hint="eastAsia" w:hAnsi="Calibri"/>
                <w:sz w:val="21"/>
                <w:szCs w:val="21"/>
              </w:rPr>
              <w:t>0.84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74" w:type="dxa"/>
            <w:vMerge w:val="continue"/>
          </w:tcPr>
          <w:p>
            <w:pPr>
              <w:pStyle w:val="2"/>
              <w:jc w:val="center"/>
              <w:rPr>
                <w:sz w:val="21"/>
                <w:szCs w:val="21"/>
              </w:rPr>
            </w:pPr>
          </w:p>
        </w:tc>
        <w:tc>
          <w:tcPr>
            <w:tcW w:w="1701" w:type="dxa"/>
          </w:tcPr>
          <w:p>
            <w:pPr>
              <w:pStyle w:val="2"/>
              <w:jc w:val="center"/>
              <w:rPr>
                <w:sz w:val="21"/>
                <w:szCs w:val="21"/>
              </w:rPr>
            </w:pPr>
            <w:r>
              <w:rPr>
                <w:sz w:val="21"/>
                <w:szCs w:val="21"/>
              </w:rPr>
              <w:t>160906</w:t>
            </w:r>
          </w:p>
        </w:tc>
        <w:tc>
          <w:tcPr>
            <w:tcW w:w="2127" w:type="dxa"/>
          </w:tcPr>
          <w:p>
            <w:pPr>
              <w:jc w:val="center"/>
              <w:rPr>
                <w:rFonts w:hAnsi="Calibri"/>
                <w:sz w:val="21"/>
                <w:szCs w:val="21"/>
              </w:rPr>
            </w:pPr>
            <w:r>
              <w:rPr>
                <w:rFonts w:hint="eastAsia" w:hAnsi="Calibri"/>
                <w:sz w:val="21"/>
                <w:szCs w:val="21"/>
              </w:rPr>
              <w:t>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74" w:type="dxa"/>
            <w:vMerge w:val="restart"/>
            <w:vAlign w:val="center"/>
          </w:tcPr>
          <w:p>
            <w:pPr>
              <w:jc w:val="center"/>
              <w:rPr>
                <w:sz w:val="21"/>
                <w:szCs w:val="21"/>
              </w:rPr>
            </w:pPr>
            <w:r>
              <w:rPr>
                <w:sz w:val="21"/>
                <w:szCs w:val="21"/>
              </w:rPr>
              <w:t>463</w:t>
            </w:r>
          </w:p>
        </w:tc>
        <w:tc>
          <w:tcPr>
            <w:tcW w:w="1701" w:type="dxa"/>
          </w:tcPr>
          <w:p>
            <w:pPr>
              <w:jc w:val="center"/>
              <w:rPr>
                <w:sz w:val="21"/>
                <w:szCs w:val="21"/>
              </w:rPr>
            </w:pPr>
            <w:r>
              <w:rPr>
                <w:sz w:val="21"/>
                <w:szCs w:val="21"/>
              </w:rPr>
              <w:t>151106</w:t>
            </w:r>
          </w:p>
        </w:tc>
        <w:tc>
          <w:tcPr>
            <w:tcW w:w="2127" w:type="dxa"/>
          </w:tcPr>
          <w:p>
            <w:pPr>
              <w:jc w:val="center"/>
              <w:rPr>
                <w:rFonts w:hAnsi="Calibri"/>
                <w:sz w:val="21"/>
                <w:szCs w:val="21"/>
              </w:rPr>
            </w:pPr>
            <w:r>
              <w:rPr>
                <w:rFonts w:hint="eastAsia" w:hAnsi="Calibri"/>
                <w:sz w:val="21"/>
                <w:szCs w:val="21"/>
              </w:rPr>
              <w:t>参比样品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74" w:type="dxa"/>
            <w:vMerge w:val="continue"/>
          </w:tcPr>
          <w:p>
            <w:pPr>
              <w:pStyle w:val="2"/>
              <w:jc w:val="center"/>
              <w:rPr>
                <w:sz w:val="21"/>
                <w:szCs w:val="21"/>
              </w:rPr>
            </w:pPr>
          </w:p>
        </w:tc>
        <w:tc>
          <w:tcPr>
            <w:tcW w:w="1701" w:type="dxa"/>
          </w:tcPr>
          <w:p>
            <w:pPr>
              <w:pStyle w:val="2"/>
              <w:jc w:val="center"/>
              <w:rPr>
                <w:sz w:val="21"/>
                <w:szCs w:val="21"/>
              </w:rPr>
            </w:pPr>
            <w:r>
              <w:rPr>
                <w:sz w:val="21"/>
                <w:szCs w:val="21"/>
              </w:rPr>
              <w:t>160904</w:t>
            </w:r>
          </w:p>
        </w:tc>
        <w:tc>
          <w:tcPr>
            <w:tcW w:w="2127" w:type="dxa"/>
          </w:tcPr>
          <w:p>
            <w:pPr>
              <w:jc w:val="center"/>
              <w:rPr>
                <w:rFonts w:hAnsi="Calibri"/>
                <w:sz w:val="21"/>
                <w:szCs w:val="21"/>
              </w:rPr>
            </w:pPr>
            <w:r>
              <w:rPr>
                <w:rFonts w:hint="eastAsia" w:hAnsi="Calibri"/>
                <w:sz w:val="21"/>
                <w:szCs w:val="21"/>
              </w:rPr>
              <w:t>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74" w:type="dxa"/>
            <w:vMerge w:val="continue"/>
          </w:tcPr>
          <w:p>
            <w:pPr>
              <w:pStyle w:val="2"/>
              <w:jc w:val="center"/>
              <w:rPr>
                <w:sz w:val="21"/>
                <w:szCs w:val="21"/>
              </w:rPr>
            </w:pPr>
          </w:p>
        </w:tc>
        <w:tc>
          <w:tcPr>
            <w:tcW w:w="1701" w:type="dxa"/>
          </w:tcPr>
          <w:p>
            <w:pPr>
              <w:pStyle w:val="2"/>
              <w:jc w:val="center"/>
              <w:rPr>
                <w:sz w:val="21"/>
                <w:szCs w:val="21"/>
              </w:rPr>
            </w:pPr>
            <w:r>
              <w:rPr>
                <w:sz w:val="21"/>
                <w:szCs w:val="21"/>
              </w:rPr>
              <w:t>161005</w:t>
            </w:r>
          </w:p>
        </w:tc>
        <w:tc>
          <w:tcPr>
            <w:tcW w:w="2127" w:type="dxa"/>
          </w:tcPr>
          <w:p>
            <w:pPr>
              <w:jc w:val="center"/>
              <w:rPr>
                <w:rFonts w:hAnsi="Calibri"/>
                <w:sz w:val="21"/>
                <w:szCs w:val="21"/>
              </w:rPr>
            </w:pPr>
            <w:r>
              <w:rPr>
                <w:rFonts w:hint="eastAsia" w:hAnsi="Calibri"/>
                <w:sz w:val="21"/>
                <w:szCs w:val="21"/>
              </w:rPr>
              <w:t>1.85</w:t>
            </w:r>
          </w:p>
        </w:tc>
      </w:tr>
    </w:tbl>
    <w:p>
      <w:pPr>
        <w:pStyle w:val="5"/>
        <w:rPr>
          <w:rFonts w:ascii="Times New Roman" w:hAnsi="Times New Roman"/>
          <w:b w:val="0"/>
          <w:kern w:val="2"/>
          <w:szCs w:val="24"/>
        </w:rPr>
      </w:pPr>
      <w:r>
        <w:rPr>
          <w:rFonts w:hint="eastAsia"/>
        </w:rPr>
        <w:t xml:space="preserve">    </w:t>
      </w:r>
      <w:r>
        <w:rPr>
          <w:rFonts w:hint="eastAsia" w:ascii="Times New Roman" w:hAnsi="Times New Roman"/>
          <w:b w:val="0"/>
          <w:kern w:val="2"/>
          <w:szCs w:val="24"/>
        </w:rPr>
        <w:t>考虑到生产企业的实际情况，现经过讨论，本标准提供了两种检测颜料颜色的方法，即A法 目视法和B法 仪器法。对于目视法，仍然采用GB/T 1864-2012的检测方法。对于仪器法，采用GB/T 5211.20《在本色体系中白色、黑色和着色颜料 颜色的比较 色度法》来进行检测。供需双方可商定选用其中任一方法。</w:t>
      </w:r>
    </w:p>
    <w:p>
      <w:pPr>
        <w:pStyle w:val="5"/>
        <w:rPr>
          <w:rFonts w:ascii="Times New Roman" w:hAnsi="Times New Roman"/>
          <w:b w:val="0"/>
          <w:kern w:val="2"/>
          <w:szCs w:val="24"/>
        </w:rPr>
      </w:pPr>
      <w:r>
        <w:rPr>
          <w:rFonts w:hint="eastAsia"/>
        </w:rPr>
        <w:t>3.1.3 相对着色力的实验结果</w:t>
      </w:r>
    </w:p>
    <w:p>
      <w:pPr>
        <w:pStyle w:val="2"/>
        <w:ind w:firstLine="480" w:firstLineChars="200"/>
      </w:pPr>
      <w:r>
        <w:rPr>
          <w:rFonts w:hint="eastAsia"/>
        </w:rPr>
        <w:t>相对着色力的大小能反应出颜料产品质量的优劣。本指标依据推荐性国家标准</w:t>
      </w:r>
      <w:r>
        <w:t>GB/T 13451.2</w:t>
      </w:r>
      <w:r>
        <w:rPr>
          <w:rFonts w:hint="eastAsia"/>
        </w:rPr>
        <w:t>作为检验依据，可测定群青颜料各产品的相对着色力，见表3。相对着色力的大小均符合本标准制定的指标。</w:t>
      </w:r>
    </w:p>
    <w:p>
      <w:pPr>
        <w:jc w:val="center"/>
        <w:rPr>
          <w:sz w:val="21"/>
          <w:szCs w:val="21"/>
        </w:rPr>
      </w:pPr>
      <w:r>
        <w:rPr>
          <w:rFonts w:hint="eastAsia"/>
          <w:sz w:val="21"/>
          <w:szCs w:val="21"/>
        </w:rPr>
        <w:t>表3 相对着色力的实验结果</w:t>
      </w:r>
    </w:p>
    <w:tbl>
      <w:tblPr>
        <w:tblStyle w:val="12"/>
        <w:tblW w:w="55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4"/>
        <w:gridCol w:w="1701"/>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75" w:type="dxa"/>
            <w:gridSpan w:val="2"/>
          </w:tcPr>
          <w:p>
            <w:pPr>
              <w:pStyle w:val="2"/>
              <w:jc w:val="center"/>
              <w:rPr>
                <w:rFonts w:ascii="Calibri" w:hAnsi="Calibri"/>
                <w:sz w:val="21"/>
                <w:szCs w:val="21"/>
              </w:rPr>
            </w:pPr>
            <w:r>
              <w:rPr>
                <w:rFonts w:hint="eastAsia" w:ascii="Calibri" w:hAnsi="Calibri"/>
                <w:sz w:val="21"/>
                <w:szCs w:val="21"/>
              </w:rPr>
              <w:t>颜料名称</w:t>
            </w:r>
          </w:p>
        </w:tc>
        <w:tc>
          <w:tcPr>
            <w:tcW w:w="2127" w:type="dxa"/>
          </w:tcPr>
          <w:p>
            <w:pPr>
              <w:jc w:val="center"/>
              <w:rPr>
                <w:rFonts w:hAnsi="Calibri"/>
                <w:sz w:val="21"/>
                <w:szCs w:val="21"/>
              </w:rPr>
            </w:pPr>
            <w:r>
              <w:rPr>
                <w:rFonts w:hint="eastAsia" w:hAnsi="Calibri"/>
                <w:sz w:val="21"/>
                <w:szCs w:val="21"/>
              </w:rPr>
              <w:t>相对着色力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74" w:type="dxa"/>
            <w:vMerge w:val="restart"/>
            <w:vAlign w:val="center"/>
          </w:tcPr>
          <w:p>
            <w:pPr>
              <w:jc w:val="center"/>
              <w:rPr>
                <w:sz w:val="21"/>
                <w:szCs w:val="21"/>
              </w:rPr>
            </w:pPr>
            <w:r>
              <w:rPr>
                <w:rFonts w:hAnsi="Calibri"/>
                <w:sz w:val="21"/>
                <w:szCs w:val="21"/>
              </w:rPr>
              <w:t>兰相</w:t>
            </w:r>
            <w:r>
              <w:rPr>
                <w:sz w:val="21"/>
                <w:szCs w:val="21"/>
              </w:rPr>
              <w:t>TL1515</w:t>
            </w:r>
          </w:p>
        </w:tc>
        <w:tc>
          <w:tcPr>
            <w:tcW w:w="1701" w:type="dxa"/>
          </w:tcPr>
          <w:p>
            <w:pPr>
              <w:jc w:val="center"/>
              <w:rPr>
                <w:sz w:val="21"/>
                <w:szCs w:val="21"/>
              </w:rPr>
            </w:pPr>
            <w:r>
              <w:rPr>
                <w:sz w:val="21"/>
                <w:szCs w:val="21"/>
              </w:rPr>
              <w:t>150105</w:t>
            </w:r>
          </w:p>
        </w:tc>
        <w:tc>
          <w:tcPr>
            <w:tcW w:w="2127" w:type="dxa"/>
          </w:tcPr>
          <w:p>
            <w:pPr>
              <w:jc w:val="center"/>
              <w:rPr>
                <w:rFonts w:hAnsi="Calibri"/>
                <w:sz w:val="21"/>
                <w:szCs w:val="21"/>
              </w:rPr>
            </w:pPr>
            <w:r>
              <w:rPr>
                <w:rFonts w:hint="eastAsia" w:hAnsi="Calibri"/>
                <w:sz w:val="21"/>
                <w:szCs w:val="21"/>
              </w:rPr>
              <w:t>参比样品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74" w:type="dxa"/>
            <w:vMerge w:val="continue"/>
          </w:tcPr>
          <w:p>
            <w:pPr>
              <w:pStyle w:val="2"/>
              <w:jc w:val="center"/>
              <w:rPr>
                <w:sz w:val="21"/>
                <w:szCs w:val="21"/>
              </w:rPr>
            </w:pPr>
          </w:p>
        </w:tc>
        <w:tc>
          <w:tcPr>
            <w:tcW w:w="1701" w:type="dxa"/>
          </w:tcPr>
          <w:p>
            <w:pPr>
              <w:pStyle w:val="2"/>
              <w:jc w:val="center"/>
              <w:rPr>
                <w:sz w:val="21"/>
                <w:szCs w:val="21"/>
              </w:rPr>
            </w:pPr>
            <w:r>
              <w:rPr>
                <w:sz w:val="21"/>
                <w:szCs w:val="21"/>
              </w:rPr>
              <w:t>1</w:t>
            </w:r>
            <w:r>
              <w:rPr>
                <w:rFonts w:hint="eastAsia"/>
                <w:sz w:val="21"/>
                <w:szCs w:val="21"/>
              </w:rPr>
              <w:t>5</w:t>
            </w:r>
            <w:r>
              <w:rPr>
                <w:sz w:val="21"/>
                <w:szCs w:val="21"/>
              </w:rPr>
              <w:t>090</w:t>
            </w:r>
            <w:r>
              <w:rPr>
                <w:rFonts w:hint="eastAsia"/>
                <w:sz w:val="21"/>
                <w:szCs w:val="21"/>
              </w:rPr>
              <w:t>3</w:t>
            </w:r>
          </w:p>
        </w:tc>
        <w:tc>
          <w:tcPr>
            <w:tcW w:w="2127" w:type="dxa"/>
          </w:tcPr>
          <w:p>
            <w:pPr>
              <w:jc w:val="center"/>
              <w:rPr>
                <w:rFonts w:hAnsi="Calibri"/>
                <w:sz w:val="21"/>
                <w:szCs w:val="21"/>
              </w:rPr>
            </w:pPr>
            <w:r>
              <w:rPr>
                <w:rFonts w:hint="eastAsia" w:hAnsi="Calibri"/>
                <w:sz w:val="21"/>
                <w:szCs w:val="21"/>
              </w:rPr>
              <w:t>100.99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74" w:type="dxa"/>
            <w:vMerge w:val="continue"/>
          </w:tcPr>
          <w:p>
            <w:pPr>
              <w:pStyle w:val="2"/>
              <w:jc w:val="center"/>
              <w:rPr>
                <w:sz w:val="21"/>
                <w:szCs w:val="21"/>
              </w:rPr>
            </w:pPr>
          </w:p>
        </w:tc>
        <w:tc>
          <w:tcPr>
            <w:tcW w:w="1701" w:type="dxa"/>
          </w:tcPr>
          <w:p>
            <w:pPr>
              <w:pStyle w:val="2"/>
              <w:jc w:val="center"/>
              <w:rPr>
                <w:sz w:val="21"/>
                <w:szCs w:val="21"/>
              </w:rPr>
            </w:pPr>
            <w:r>
              <w:rPr>
                <w:sz w:val="21"/>
                <w:szCs w:val="21"/>
              </w:rPr>
              <w:t>160701</w:t>
            </w:r>
          </w:p>
        </w:tc>
        <w:tc>
          <w:tcPr>
            <w:tcW w:w="2127" w:type="dxa"/>
          </w:tcPr>
          <w:p>
            <w:pPr>
              <w:jc w:val="center"/>
              <w:rPr>
                <w:rFonts w:hAnsi="Calibri"/>
                <w:sz w:val="21"/>
                <w:szCs w:val="21"/>
              </w:rPr>
            </w:pPr>
            <w:r>
              <w:rPr>
                <w:rFonts w:hint="eastAsia" w:hAnsi="Calibri"/>
                <w:sz w:val="21"/>
                <w:szCs w:val="21"/>
              </w:rPr>
              <w:t>98.87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74" w:type="dxa"/>
            <w:vMerge w:val="restart"/>
            <w:vAlign w:val="center"/>
          </w:tcPr>
          <w:p>
            <w:pPr>
              <w:jc w:val="center"/>
              <w:rPr>
                <w:sz w:val="21"/>
                <w:szCs w:val="21"/>
              </w:rPr>
            </w:pPr>
            <w:r>
              <w:rPr>
                <w:rFonts w:hAnsi="Calibri"/>
                <w:sz w:val="21"/>
                <w:szCs w:val="21"/>
              </w:rPr>
              <w:t>红相</w:t>
            </w:r>
            <w:r>
              <w:rPr>
                <w:sz w:val="21"/>
                <w:szCs w:val="21"/>
              </w:rPr>
              <w:t>800</w:t>
            </w:r>
          </w:p>
        </w:tc>
        <w:tc>
          <w:tcPr>
            <w:tcW w:w="1701" w:type="dxa"/>
          </w:tcPr>
          <w:p>
            <w:pPr>
              <w:jc w:val="center"/>
              <w:rPr>
                <w:sz w:val="21"/>
                <w:szCs w:val="21"/>
              </w:rPr>
            </w:pPr>
            <w:r>
              <w:rPr>
                <w:sz w:val="21"/>
                <w:szCs w:val="21"/>
              </w:rPr>
              <w:t>131103</w:t>
            </w:r>
          </w:p>
        </w:tc>
        <w:tc>
          <w:tcPr>
            <w:tcW w:w="2127" w:type="dxa"/>
          </w:tcPr>
          <w:p>
            <w:pPr>
              <w:jc w:val="center"/>
              <w:rPr>
                <w:rFonts w:hAnsi="Calibri"/>
                <w:sz w:val="21"/>
                <w:szCs w:val="21"/>
              </w:rPr>
            </w:pPr>
            <w:r>
              <w:rPr>
                <w:rFonts w:hint="eastAsia" w:hAnsi="Calibri"/>
                <w:sz w:val="21"/>
                <w:szCs w:val="21"/>
              </w:rPr>
              <w:t>参比样品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74" w:type="dxa"/>
            <w:vMerge w:val="continue"/>
          </w:tcPr>
          <w:p>
            <w:pPr>
              <w:pStyle w:val="2"/>
              <w:jc w:val="center"/>
              <w:rPr>
                <w:sz w:val="21"/>
                <w:szCs w:val="21"/>
              </w:rPr>
            </w:pPr>
          </w:p>
        </w:tc>
        <w:tc>
          <w:tcPr>
            <w:tcW w:w="1701" w:type="dxa"/>
          </w:tcPr>
          <w:p>
            <w:pPr>
              <w:pStyle w:val="2"/>
              <w:jc w:val="center"/>
              <w:rPr>
                <w:sz w:val="21"/>
                <w:szCs w:val="21"/>
              </w:rPr>
            </w:pPr>
            <w:r>
              <w:rPr>
                <w:sz w:val="21"/>
                <w:szCs w:val="21"/>
              </w:rPr>
              <w:t>160405</w:t>
            </w:r>
          </w:p>
        </w:tc>
        <w:tc>
          <w:tcPr>
            <w:tcW w:w="2127" w:type="dxa"/>
          </w:tcPr>
          <w:p>
            <w:pPr>
              <w:jc w:val="center"/>
              <w:rPr>
                <w:rFonts w:hAnsi="Calibri"/>
                <w:sz w:val="21"/>
                <w:szCs w:val="21"/>
              </w:rPr>
            </w:pPr>
            <w:r>
              <w:rPr>
                <w:rFonts w:hint="eastAsia" w:hAnsi="Calibri"/>
                <w:sz w:val="21"/>
                <w:szCs w:val="21"/>
              </w:rPr>
              <w:t>101.49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74" w:type="dxa"/>
            <w:vMerge w:val="continue"/>
          </w:tcPr>
          <w:p>
            <w:pPr>
              <w:pStyle w:val="2"/>
              <w:jc w:val="center"/>
              <w:rPr>
                <w:sz w:val="21"/>
                <w:szCs w:val="21"/>
              </w:rPr>
            </w:pPr>
          </w:p>
        </w:tc>
        <w:tc>
          <w:tcPr>
            <w:tcW w:w="1701" w:type="dxa"/>
          </w:tcPr>
          <w:p>
            <w:pPr>
              <w:pStyle w:val="2"/>
              <w:jc w:val="center"/>
              <w:rPr>
                <w:sz w:val="21"/>
                <w:szCs w:val="21"/>
              </w:rPr>
            </w:pPr>
            <w:r>
              <w:rPr>
                <w:sz w:val="21"/>
                <w:szCs w:val="21"/>
              </w:rPr>
              <w:t>160906</w:t>
            </w:r>
          </w:p>
        </w:tc>
        <w:tc>
          <w:tcPr>
            <w:tcW w:w="2127" w:type="dxa"/>
          </w:tcPr>
          <w:p>
            <w:pPr>
              <w:jc w:val="center"/>
              <w:rPr>
                <w:rFonts w:hAnsi="Calibri"/>
                <w:sz w:val="21"/>
                <w:szCs w:val="21"/>
              </w:rPr>
            </w:pPr>
            <w:r>
              <w:rPr>
                <w:rFonts w:hint="eastAsia" w:hAnsi="Calibri"/>
                <w:sz w:val="21"/>
                <w:szCs w:val="21"/>
              </w:rPr>
              <w:t>100.17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74" w:type="dxa"/>
            <w:vMerge w:val="restart"/>
            <w:vAlign w:val="center"/>
          </w:tcPr>
          <w:p>
            <w:pPr>
              <w:jc w:val="center"/>
              <w:rPr>
                <w:sz w:val="21"/>
                <w:szCs w:val="21"/>
              </w:rPr>
            </w:pPr>
            <w:r>
              <w:rPr>
                <w:sz w:val="21"/>
                <w:szCs w:val="21"/>
              </w:rPr>
              <w:t>463</w:t>
            </w:r>
          </w:p>
        </w:tc>
        <w:tc>
          <w:tcPr>
            <w:tcW w:w="1701" w:type="dxa"/>
          </w:tcPr>
          <w:p>
            <w:pPr>
              <w:jc w:val="center"/>
              <w:rPr>
                <w:sz w:val="21"/>
                <w:szCs w:val="21"/>
              </w:rPr>
            </w:pPr>
            <w:r>
              <w:rPr>
                <w:sz w:val="21"/>
                <w:szCs w:val="21"/>
              </w:rPr>
              <w:t>151106</w:t>
            </w:r>
          </w:p>
        </w:tc>
        <w:tc>
          <w:tcPr>
            <w:tcW w:w="2127" w:type="dxa"/>
          </w:tcPr>
          <w:p>
            <w:pPr>
              <w:jc w:val="center"/>
              <w:rPr>
                <w:rFonts w:hAnsi="Calibri"/>
                <w:sz w:val="21"/>
                <w:szCs w:val="21"/>
              </w:rPr>
            </w:pPr>
            <w:r>
              <w:rPr>
                <w:rFonts w:hint="eastAsia" w:hAnsi="Calibri"/>
                <w:sz w:val="21"/>
                <w:szCs w:val="21"/>
              </w:rPr>
              <w:t>参比样品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74" w:type="dxa"/>
            <w:vMerge w:val="continue"/>
          </w:tcPr>
          <w:p>
            <w:pPr>
              <w:pStyle w:val="2"/>
              <w:jc w:val="center"/>
              <w:rPr>
                <w:sz w:val="21"/>
                <w:szCs w:val="21"/>
              </w:rPr>
            </w:pPr>
          </w:p>
        </w:tc>
        <w:tc>
          <w:tcPr>
            <w:tcW w:w="1701" w:type="dxa"/>
          </w:tcPr>
          <w:p>
            <w:pPr>
              <w:pStyle w:val="2"/>
              <w:jc w:val="center"/>
              <w:rPr>
                <w:sz w:val="21"/>
                <w:szCs w:val="21"/>
              </w:rPr>
            </w:pPr>
            <w:r>
              <w:rPr>
                <w:sz w:val="21"/>
                <w:szCs w:val="21"/>
              </w:rPr>
              <w:t>160904</w:t>
            </w:r>
          </w:p>
        </w:tc>
        <w:tc>
          <w:tcPr>
            <w:tcW w:w="2127" w:type="dxa"/>
          </w:tcPr>
          <w:p>
            <w:pPr>
              <w:jc w:val="center"/>
              <w:rPr>
                <w:rFonts w:hAnsi="Calibri"/>
                <w:sz w:val="21"/>
                <w:szCs w:val="21"/>
              </w:rPr>
            </w:pPr>
            <w:r>
              <w:rPr>
                <w:rFonts w:hint="eastAsia" w:hAnsi="Calibri"/>
                <w:sz w:val="21"/>
                <w:szCs w:val="21"/>
              </w:rPr>
              <w:t>101.65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74" w:type="dxa"/>
            <w:vMerge w:val="continue"/>
          </w:tcPr>
          <w:p>
            <w:pPr>
              <w:pStyle w:val="2"/>
              <w:jc w:val="center"/>
              <w:rPr>
                <w:sz w:val="21"/>
                <w:szCs w:val="21"/>
              </w:rPr>
            </w:pPr>
          </w:p>
        </w:tc>
        <w:tc>
          <w:tcPr>
            <w:tcW w:w="1701" w:type="dxa"/>
          </w:tcPr>
          <w:p>
            <w:pPr>
              <w:pStyle w:val="2"/>
              <w:jc w:val="center"/>
              <w:rPr>
                <w:sz w:val="21"/>
                <w:szCs w:val="21"/>
              </w:rPr>
            </w:pPr>
            <w:r>
              <w:rPr>
                <w:sz w:val="21"/>
                <w:szCs w:val="21"/>
              </w:rPr>
              <w:t>161005</w:t>
            </w:r>
          </w:p>
        </w:tc>
        <w:tc>
          <w:tcPr>
            <w:tcW w:w="2127" w:type="dxa"/>
          </w:tcPr>
          <w:p>
            <w:pPr>
              <w:jc w:val="center"/>
              <w:rPr>
                <w:rFonts w:hAnsi="Calibri"/>
                <w:sz w:val="21"/>
                <w:szCs w:val="21"/>
              </w:rPr>
            </w:pPr>
            <w:r>
              <w:rPr>
                <w:rFonts w:hint="eastAsia" w:hAnsi="Calibri"/>
                <w:sz w:val="21"/>
                <w:szCs w:val="21"/>
              </w:rPr>
              <w:t>101.42</w:t>
            </w:r>
          </w:p>
        </w:tc>
      </w:tr>
    </w:tbl>
    <w:p>
      <w:pPr>
        <w:pStyle w:val="5"/>
        <w:ind w:firstLine="480" w:firstLineChars="200"/>
      </w:pPr>
      <w:r>
        <w:rPr>
          <w:rFonts w:hint="eastAsia" w:ascii="Times New Roman" w:hAnsi="Times New Roman"/>
          <w:b w:val="0"/>
          <w:kern w:val="2"/>
          <w:szCs w:val="24"/>
        </w:rPr>
        <w:t>考虑到生产企业的实际情况，现经过讨论，本标准提供了两种检测颜料相对着色力的方法，即A法 目视法和B法 仪器法。对于仪器法，仍然采用GB/T 13451.2作为群青相对着色力的检测方法。对于目视法，采用GB/T 5211.19《着色颜料的相对着色力和冲淡色的测定 目视比较法》来进行检测。供需双方可商定选用其中任一方法。</w:t>
      </w:r>
    </w:p>
    <w:p>
      <w:pPr>
        <w:pStyle w:val="5"/>
      </w:pPr>
      <w:r>
        <w:rPr>
          <w:rFonts w:hint="eastAsia"/>
        </w:rPr>
        <w:t>3.1.4 有机着色物的实验结果</w:t>
      </w:r>
    </w:p>
    <w:p>
      <w:pPr>
        <w:pStyle w:val="2"/>
        <w:ind w:firstLine="480" w:firstLineChars="200"/>
        <w:jc w:val="left"/>
      </w:pPr>
      <w:r>
        <w:rPr>
          <w:rFonts w:hint="eastAsia"/>
        </w:rPr>
        <w:t>有机着色物可以提高颜料的着色力，但是群青颜料属于无机颜料，因此不能添加有机着色物。采用推荐性国家标准</w:t>
      </w:r>
      <w:r>
        <w:t>GB/T 1863-2008</w:t>
      </w:r>
      <w:r>
        <w:rPr>
          <w:rFonts w:hint="eastAsia"/>
        </w:rPr>
        <w:t>中</w:t>
      </w:r>
      <w:r>
        <w:t>8.9</w:t>
      </w:r>
      <w:r>
        <w:rPr>
          <w:rFonts w:hint="eastAsia"/>
        </w:rPr>
        <w:t>可溶性有机着色物的方法进行测定，结果见表4，即9个产品均不含有有机着色物。</w:t>
      </w:r>
    </w:p>
    <w:p>
      <w:pPr>
        <w:pStyle w:val="2"/>
        <w:jc w:val="center"/>
        <w:rPr>
          <w:sz w:val="21"/>
          <w:szCs w:val="21"/>
        </w:rPr>
      </w:pPr>
      <w:r>
        <w:rPr>
          <w:rFonts w:hint="eastAsia"/>
          <w:sz w:val="21"/>
          <w:szCs w:val="21"/>
        </w:rPr>
        <w:t>表4 产品中可溶性有机着色物的结果</w:t>
      </w:r>
    </w:p>
    <w:tbl>
      <w:tblPr>
        <w:tblStyle w:val="12"/>
        <w:tblW w:w="598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4"/>
        <w:gridCol w:w="1560"/>
        <w:gridCol w:w="2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34" w:type="dxa"/>
            <w:gridSpan w:val="2"/>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Calibri" w:hAnsi="Calibri"/>
                <w:sz w:val="21"/>
                <w:szCs w:val="21"/>
              </w:rPr>
            </w:pPr>
            <w:r>
              <w:rPr>
                <w:rFonts w:hint="eastAsia" w:ascii="Calibri" w:hAnsi="Calibri"/>
                <w:sz w:val="21"/>
                <w:szCs w:val="21"/>
              </w:rPr>
              <w:t>颜料名称</w:t>
            </w:r>
          </w:p>
        </w:tc>
        <w:tc>
          <w:tcPr>
            <w:tcW w:w="2749" w:type="dxa"/>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Ansi="Calibri"/>
                <w:sz w:val="21"/>
                <w:szCs w:val="21"/>
              </w:rPr>
            </w:pPr>
            <w:r>
              <w:rPr>
                <w:rFonts w:hint="eastAsia" w:hAnsi="Calibri"/>
                <w:sz w:val="21"/>
                <w:szCs w:val="21"/>
              </w:rPr>
              <w:t>可溶性有机着色物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74" w:type="dxa"/>
            <w:vMerge w:val="restart"/>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Ansi="Calibri"/>
                <w:sz w:val="21"/>
                <w:szCs w:val="21"/>
              </w:rPr>
              <w:t>兰相</w:t>
            </w:r>
            <w:r>
              <w:rPr>
                <w:sz w:val="21"/>
                <w:szCs w:val="21"/>
              </w:rPr>
              <w:t>TL1515</w:t>
            </w:r>
          </w:p>
        </w:tc>
        <w:tc>
          <w:tcPr>
            <w:tcW w:w="1560" w:type="dxa"/>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sz w:val="21"/>
                <w:szCs w:val="21"/>
              </w:rPr>
              <w:t>150105</w:t>
            </w:r>
          </w:p>
        </w:tc>
        <w:tc>
          <w:tcPr>
            <w:tcW w:w="2749" w:type="dxa"/>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Ansi="Calibri"/>
                <w:sz w:val="21"/>
                <w:szCs w:val="21"/>
              </w:rPr>
            </w:pPr>
            <w:r>
              <w:rPr>
                <w:rFonts w:hint="eastAsia" w:hAnsi="Calibri"/>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74" w:type="dxa"/>
            <w:vMerge w:val="continue"/>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p>
        </w:tc>
        <w:tc>
          <w:tcPr>
            <w:tcW w:w="1560"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sz w:val="21"/>
                <w:szCs w:val="21"/>
              </w:rPr>
              <w:t>1</w:t>
            </w:r>
            <w:r>
              <w:rPr>
                <w:rFonts w:hint="eastAsia"/>
                <w:sz w:val="21"/>
                <w:szCs w:val="21"/>
              </w:rPr>
              <w:t>5</w:t>
            </w:r>
            <w:r>
              <w:rPr>
                <w:sz w:val="21"/>
                <w:szCs w:val="21"/>
              </w:rPr>
              <w:t>090</w:t>
            </w:r>
            <w:r>
              <w:rPr>
                <w:rFonts w:hint="eastAsia"/>
                <w:sz w:val="21"/>
                <w:szCs w:val="21"/>
              </w:rPr>
              <w:t>3</w:t>
            </w:r>
          </w:p>
        </w:tc>
        <w:tc>
          <w:tcPr>
            <w:tcW w:w="2749" w:type="dxa"/>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Ansi="Calibri"/>
                <w:sz w:val="21"/>
                <w:szCs w:val="21"/>
              </w:rPr>
            </w:pPr>
            <w:r>
              <w:rPr>
                <w:rFonts w:hint="eastAsia" w:hAnsi="Calibri"/>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74" w:type="dxa"/>
            <w:vMerge w:val="continue"/>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p>
        </w:tc>
        <w:tc>
          <w:tcPr>
            <w:tcW w:w="1560"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sz w:val="21"/>
                <w:szCs w:val="21"/>
              </w:rPr>
              <w:t>160701</w:t>
            </w:r>
          </w:p>
        </w:tc>
        <w:tc>
          <w:tcPr>
            <w:tcW w:w="2749" w:type="dxa"/>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Ansi="Calibri"/>
                <w:sz w:val="21"/>
                <w:szCs w:val="21"/>
              </w:rPr>
            </w:pPr>
            <w:r>
              <w:rPr>
                <w:rFonts w:hint="eastAsia" w:hAnsi="Calibri"/>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74" w:type="dxa"/>
            <w:vMerge w:val="restart"/>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Ansi="Calibri"/>
                <w:sz w:val="21"/>
                <w:szCs w:val="21"/>
              </w:rPr>
              <w:t>红相</w:t>
            </w:r>
            <w:r>
              <w:rPr>
                <w:sz w:val="21"/>
                <w:szCs w:val="21"/>
              </w:rPr>
              <w:t>800</w:t>
            </w:r>
          </w:p>
        </w:tc>
        <w:tc>
          <w:tcPr>
            <w:tcW w:w="1560" w:type="dxa"/>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sz w:val="21"/>
                <w:szCs w:val="21"/>
              </w:rPr>
              <w:t>131103</w:t>
            </w:r>
          </w:p>
        </w:tc>
        <w:tc>
          <w:tcPr>
            <w:tcW w:w="2749" w:type="dxa"/>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Ansi="Calibri"/>
                <w:sz w:val="21"/>
                <w:szCs w:val="21"/>
              </w:rPr>
            </w:pPr>
            <w:r>
              <w:rPr>
                <w:rFonts w:hint="eastAsia" w:hAnsi="Calibri"/>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74" w:type="dxa"/>
            <w:vMerge w:val="continue"/>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p>
        </w:tc>
        <w:tc>
          <w:tcPr>
            <w:tcW w:w="1560"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sz w:val="21"/>
                <w:szCs w:val="21"/>
              </w:rPr>
              <w:t>160405</w:t>
            </w:r>
          </w:p>
        </w:tc>
        <w:tc>
          <w:tcPr>
            <w:tcW w:w="2749" w:type="dxa"/>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Ansi="Calibri"/>
                <w:sz w:val="21"/>
                <w:szCs w:val="21"/>
              </w:rPr>
            </w:pPr>
            <w:r>
              <w:rPr>
                <w:rFonts w:hint="eastAsia" w:hAnsi="Calibri"/>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74" w:type="dxa"/>
            <w:vMerge w:val="continue"/>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p>
        </w:tc>
        <w:tc>
          <w:tcPr>
            <w:tcW w:w="1560"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sz w:val="21"/>
                <w:szCs w:val="21"/>
              </w:rPr>
              <w:t>160906</w:t>
            </w:r>
          </w:p>
        </w:tc>
        <w:tc>
          <w:tcPr>
            <w:tcW w:w="2749" w:type="dxa"/>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Ansi="Calibri"/>
                <w:sz w:val="21"/>
                <w:szCs w:val="21"/>
              </w:rPr>
            </w:pPr>
            <w:r>
              <w:rPr>
                <w:rFonts w:hint="eastAsia" w:hAnsi="Calibri"/>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74" w:type="dxa"/>
            <w:vMerge w:val="restart"/>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sz w:val="21"/>
                <w:szCs w:val="21"/>
              </w:rPr>
              <w:t>463</w:t>
            </w:r>
          </w:p>
        </w:tc>
        <w:tc>
          <w:tcPr>
            <w:tcW w:w="1560" w:type="dxa"/>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sz w:val="21"/>
                <w:szCs w:val="21"/>
              </w:rPr>
              <w:t>151106</w:t>
            </w:r>
          </w:p>
        </w:tc>
        <w:tc>
          <w:tcPr>
            <w:tcW w:w="2749" w:type="dxa"/>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Ansi="Calibri"/>
                <w:sz w:val="21"/>
                <w:szCs w:val="21"/>
              </w:rPr>
            </w:pPr>
            <w:r>
              <w:rPr>
                <w:rFonts w:hint="eastAsia" w:hAnsi="Calibri"/>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74" w:type="dxa"/>
            <w:vMerge w:val="continue"/>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p>
        </w:tc>
        <w:tc>
          <w:tcPr>
            <w:tcW w:w="1560"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sz w:val="21"/>
                <w:szCs w:val="21"/>
              </w:rPr>
              <w:t>160904</w:t>
            </w:r>
          </w:p>
        </w:tc>
        <w:tc>
          <w:tcPr>
            <w:tcW w:w="2749" w:type="dxa"/>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Ansi="Calibri"/>
                <w:sz w:val="21"/>
                <w:szCs w:val="21"/>
              </w:rPr>
            </w:pPr>
            <w:r>
              <w:rPr>
                <w:rFonts w:hint="eastAsia" w:hAnsi="Calibri"/>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74" w:type="dxa"/>
            <w:vMerge w:val="continue"/>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p>
        </w:tc>
        <w:tc>
          <w:tcPr>
            <w:tcW w:w="1560"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sz w:val="21"/>
                <w:szCs w:val="21"/>
              </w:rPr>
              <w:t>161005</w:t>
            </w:r>
          </w:p>
        </w:tc>
        <w:tc>
          <w:tcPr>
            <w:tcW w:w="2749" w:type="dxa"/>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Ansi="Calibri"/>
                <w:sz w:val="21"/>
                <w:szCs w:val="21"/>
              </w:rPr>
            </w:pPr>
            <w:r>
              <w:rPr>
                <w:rFonts w:hint="eastAsia" w:hAnsi="Calibri"/>
                <w:sz w:val="21"/>
                <w:szCs w:val="21"/>
              </w:rPr>
              <w:t>无</w:t>
            </w:r>
          </w:p>
        </w:tc>
      </w:tr>
    </w:tbl>
    <w:p>
      <w:pPr>
        <w:pStyle w:val="5"/>
      </w:pPr>
      <w:r>
        <w:rPr>
          <w:rFonts w:hint="eastAsia"/>
        </w:rPr>
        <w:t>3.1.5 游离硫的实验结果</w:t>
      </w:r>
    </w:p>
    <w:p>
      <w:pPr>
        <w:pStyle w:val="2"/>
        <w:ind w:firstLine="480"/>
      </w:pPr>
      <w:r>
        <w:rPr>
          <w:rFonts w:hint="eastAsia"/>
        </w:rPr>
        <w:t>群青颜料中游离硫含量的高低会影响颜料的艳度。群青颜料中游离硫含量较低，依据本标准中7.6规定的方法进行测定。实验结果见表5，游离硫的含量均低于本标准的指标要求。</w:t>
      </w:r>
    </w:p>
    <w:p>
      <w:pPr>
        <w:pStyle w:val="2"/>
        <w:jc w:val="center"/>
        <w:rPr>
          <w:sz w:val="21"/>
          <w:szCs w:val="21"/>
        </w:rPr>
      </w:pPr>
      <w:r>
        <w:rPr>
          <w:rFonts w:hint="eastAsia"/>
          <w:sz w:val="21"/>
          <w:szCs w:val="21"/>
        </w:rPr>
        <w:t>表5 产品中游离硫含量的结果</w:t>
      </w:r>
    </w:p>
    <w:tbl>
      <w:tblPr>
        <w:tblStyle w:val="12"/>
        <w:tblW w:w="62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4"/>
        <w:gridCol w:w="1588"/>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62" w:type="dxa"/>
            <w:gridSpan w:val="2"/>
          </w:tcPr>
          <w:p>
            <w:pPr>
              <w:pStyle w:val="2"/>
              <w:jc w:val="center"/>
              <w:rPr>
                <w:rFonts w:ascii="Calibri" w:hAnsi="Calibri"/>
                <w:sz w:val="21"/>
                <w:szCs w:val="21"/>
              </w:rPr>
            </w:pPr>
            <w:r>
              <w:rPr>
                <w:rFonts w:hint="eastAsia" w:ascii="Calibri" w:hAnsi="Calibri"/>
                <w:sz w:val="21"/>
                <w:szCs w:val="21"/>
              </w:rPr>
              <w:t>颜料名称</w:t>
            </w:r>
          </w:p>
        </w:tc>
        <w:tc>
          <w:tcPr>
            <w:tcW w:w="2977" w:type="dxa"/>
          </w:tcPr>
          <w:p>
            <w:pPr>
              <w:jc w:val="center"/>
              <w:rPr>
                <w:sz w:val="21"/>
                <w:szCs w:val="21"/>
              </w:rPr>
            </w:pPr>
            <w:r>
              <w:rPr>
                <w:rFonts w:hAnsi="Calibri"/>
                <w:sz w:val="21"/>
                <w:szCs w:val="21"/>
              </w:rPr>
              <w:t>游离硫含量/</w:t>
            </w:r>
            <w:r>
              <w:rPr>
                <w:rFonts w:hint="eastAsia" w:hAnsi="Calibri"/>
                <w:sz w:val="21"/>
                <w:szCs w:val="21"/>
              </w:rPr>
              <w:t>%</w:t>
            </w:r>
            <w:r>
              <w:rPr>
                <w:rFonts w:hAnsi="Calibri"/>
                <w:sz w:val="21"/>
                <w:szCs w:val="21"/>
              </w:rPr>
              <w:t>（</w:t>
            </w:r>
            <w:r>
              <w:rPr>
                <w:rFonts w:hint="eastAsia"/>
                <w:sz w:val="21"/>
                <w:szCs w:val="21"/>
              </w:rPr>
              <w:t>≤</w:t>
            </w:r>
            <w:r>
              <w:rPr>
                <w:rFonts w:hAnsi="Calibri"/>
                <w:sz w:val="21"/>
                <w:szCs w:val="21"/>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74" w:type="dxa"/>
            <w:vMerge w:val="restart"/>
            <w:vAlign w:val="center"/>
          </w:tcPr>
          <w:p>
            <w:pPr>
              <w:jc w:val="center"/>
              <w:rPr>
                <w:sz w:val="21"/>
                <w:szCs w:val="21"/>
              </w:rPr>
            </w:pPr>
            <w:r>
              <w:rPr>
                <w:rFonts w:hAnsi="Calibri"/>
                <w:sz w:val="21"/>
                <w:szCs w:val="21"/>
              </w:rPr>
              <w:t>兰相</w:t>
            </w:r>
            <w:r>
              <w:rPr>
                <w:sz w:val="21"/>
                <w:szCs w:val="21"/>
              </w:rPr>
              <w:t>TL1515</w:t>
            </w:r>
          </w:p>
        </w:tc>
        <w:tc>
          <w:tcPr>
            <w:tcW w:w="1588" w:type="dxa"/>
          </w:tcPr>
          <w:p>
            <w:pPr>
              <w:jc w:val="center"/>
              <w:rPr>
                <w:sz w:val="21"/>
                <w:szCs w:val="21"/>
              </w:rPr>
            </w:pPr>
            <w:r>
              <w:rPr>
                <w:sz w:val="21"/>
                <w:szCs w:val="21"/>
              </w:rPr>
              <w:t>150105</w:t>
            </w:r>
          </w:p>
        </w:tc>
        <w:tc>
          <w:tcPr>
            <w:tcW w:w="2977" w:type="dxa"/>
          </w:tcPr>
          <w:p>
            <w:pPr>
              <w:jc w:val="center"/>
              <w:rPr>
                <w:sz w:val="21"/>
                <w:szCs w:val="21"/>
              </w:rPr>
            </w:pPr>
            <w:r>
              <w:rPr>
                <w:sz w:val="21"/>
                <w:szCs w:val="21"/>
              </w:rPr>
              <w:t>0.0156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74" w:type="dxa"/>
            <w:vMerge w:val="continue"/>
          </w:tcPr>
          <w:p>
            <w:pPr>
              <w:pStyle w:val="2"/>
              <w:jc w:val="center"/>
              <w:rPr>
                <w:sz w:val="21"/>
                <w:szCs w:val="21"/>
              </w:rPr>
            </w:pPr>
          </w:p>
        </w:tc>
        <w:tc>
          <w:tcPr>
            <w:tcW w:w="1588" w:type="dxa"/>
          </w:tcPr>
          <w:p>
            <w:pPr>
              <w:pStyle w:val="2"/>
              <w:jc w:val="center"/>
              <w:rPr>
                <w:sz w:val="21"/>
                <w:szCs w:val="21"/>
              </w:rPr>
            </w:pPr>
            <w:r>
              <w:rPr>
                <w:sz w:val="21"/>
                <w:szCs w:val="21"/>
              </w:rPr>
              <w:t>1</w:t>
            </w:r>
            <w:r>
              <w:rPr>
                <w:rFonts w:hint="eastAsia"/>
                <w:sz w:val="21"/>
                <w:szCs w:val="21"/>
              </w:rPr>
              <w:t>5</w:t>
            </w:r>
            <w:r>
              <w:rPr>
                <w:sz w:val="21"/>
                <w:szCs w:val="21"/>
              </w:rPr>
              <w:t>090</w:t>
            </w:r>
            <w:r>
              <w:rPr>
                <w:rFonts w:hint="eastAsia"/>
                <w:sz w:val="21"/>
                <w:szCs w:val="21"/>
              </w:rPr>
              <w:t>3</w:t>
            </w:r>
          </w:p>
        </w:tc>
        <w:tc>
          <w:tcPr>
            <w:tcW w:w="2977" w:type="dxa"/>
          </w:tcPr>
          <w:p>
            <w:pPr>
              <w:jc w:val="center"/>
              <w:rPr>
                <w:sz w:val="21"/>
                <w:szCs w:val="21"/>
              </w:rPr>
            </w:pPr>
            <w:r>
              <w:rPr>
                <w:sz w:val="21"/>
                <w:szCs w:val="21"/>
              </w:rPr>
              <w:t>0.0173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74" w:type="dxa"/>
            <w:vMerge w:val="continue"/>
          </w:tcPr>
          <w:p>
            <w:pPr>
              <w:pStyle w:val="2"/>
              <w:jc w:val="center"/>
              <w:rPr>
                <w:sz w:val="21"/>
                <w:szCs w:val="21"/>
              </w:rPr>
            </w:pPr>
          </w:p>
        </w:tc>
        <w:tc>
          <w:tcPr>
            <w:tcW w:w="1588" w:type="dxa"/>
          </w:tcPr>
          <w:p>
            <w:pPr>
              <w:pStyle w:val="2"/>
              <w:jc w:val="center"/>
              <w:rPr>
                <w:sz w:val="21"/>
                <w:szCs w:val="21"/>
              </w:rPr>
            </w:pPr>
            <w:r>
              <w:rPr>
                <w:sz w:val="21"/>
                <w:szCs w:val="21"/>
              </w:rPr>
              <w:t>160701</w:t>
            </w:r>
          </w:p>
        </w:tc>
        <w:tc>
          <w:tcPr>
            <w:tcW w:w="2977" w:type="dxa"/>
          </w:tcPr>
          <w:p>
            <w:pPr>
              <w:jc w:val="center"/>
              <w:rPr>
                <w:sz w:val="21"/>
                <w:szCs w:val="21"/>
              </w:rPr>
            </w:pPr>
            <w:r>
              <w:rPr>
                <w:sz w:val="21"/>
                <w:szCs w:val="21"/>
              </w:rPr>
              <w:t>0.0123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74" w:type="dxa"/>
            <w:vMerge w:val="restart"/>
            <w:vAlign w:val="center"/>
          </w:tcPr>
          <w:p>
            <w:pPr>
              <w:jc w:val="center"/>
              <w:rPr>
                <w:sz w:val="21"/>
                <w:szCs w:val="21"/>
              </w:rPr>
            </w:pPr>
            <w:r>
              <w:rPr>
                <w:rFonts w:hAnsi="Calibri"/>
                <w:sz w:val="21"/>
                <w:szCs w:val="21"/>
              </w:rPr>
              <w:t>红相</w:t>
            </w:r>
            <w:r>
              <w:rPr>
                <w:sz w:val="21"/>
                <w:szCs w:val="21"/>
              </w:rPr>
              <w:t>800</w:t>
            </w:r>
          </w:p>
        </w:tc>
        <w:tc>
          <w:tcPr>
            <w:tcW w:w="1588" w:type="dxa"/>
          </w:tcPr>
          <w:p>
            <w:pPr>
              <w:jc w:val="center"/>
              <w:rPr>
                <w:sz w:val="21"/>
                <w:szCs w:val="21"/>
              </w:rPr>
            </w:pPr>
            <w:r>
              <w:rPr>
                <w:sz w:val="21"/>
                <w:szCs w:val="21"/>
              </w:rPr>
              <w:t>131103</w:t>
            </w:r>
          </w:p>
        </w:tc>
        <w:tc>
          <w:tcPr>
            <w:tcW w:w="2977" w:type="dxa"/>
          </w:tcPr>
          <w:p>
            <w:pPr>
              <w:jc w:val="center"/>
              <w:rPr>
                <w:sz w:val="21"/>
                <w:szCs w:val="21"/>
              </w:rPr>
            </w:pPr>
            <w:r>
              <w:rPr>
                <w:sz w:val="21"/>
                <w:szCs w:val="21"/>
              </w:rPr>
              <w:t>0.0261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74" w:type="dxa"/>
            <w:vMerge w:val="continue"/>
          </w:tcPr>
          <w:p>
            <w:pPr>
              <w:pStyle w:val="2"/>
              <w:jc w:val="center"/>
              <w:rPr>
                <w:sz w:val="21"/>
                <w:szCs w:val="21"/>
              </w:rPr>
            </w:pPr>
          </w:p>
        </w:tc>
        <w:tc>
          <w:tcPr>
            <w:tcW w:w="1588" w:type="dxa"/>
          </w:tcPr>
          <w:p>
            <w:pPr>
              <w:pStyle w:val="2"/>
              <w:jc w:val="center"/>
              <w:rPr>
                <w:sz w:val="21"/>
                <w:szCs w:val="21"/>
              </w:rPr>
            </w:pPr>
            <w:r>
              <w:rPr>
                <w:sz w:val="21"/>
                <w:szCs w:val="21"/>
              </w:rPr>
              <w:t>160405</w:t>
            </w:r>
          </w:p>
        </w:tc>
        <w:tc>
          <w:tcPr>
            <w:tcW w:w="2977" w:type="dxa"/>
          </w:tcPr>
          <w:p>
            <w:pPr>
              <w:jc w:val="center"/>
              <w:rPr>
                <w:sz w:val="21"/>
                <w:szCs w:val="21"/>
              </w:rPr>
            </w:pPr>
            <w:r>
              <w:rPr>
                <w:sz w:val="21"/>
                <w:szCs w:val="21"/>
              </w:rPr>
              <w:t>0.0162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74" w:type="dxa"/>
            <w:vMerge w:val="continue"/>
          </w:tcPr>
          <w:p>
            <w:pPr>
              <w:pStyle w:val="2"/>
              <w:jc w:val="center"/>
              <w:rPr>
                <w:sz w:val="21"/>
                <w:szCs w:val="21"/>
              </w:rPr>
            </w:pPr>
          </w:p>
        </w:tc>
        <w:tc>
          <w:tcPr>
            <w:tcW w:w="1588" w:type="dxa"/>
          </w:tcPr>
          <w:p>
            <w:pPr>
              <w:pStyle w:val="2"/>
              <w:jc w:val="center"/>
              <w:rPr>
                <w:sz w:val="21"/>
                <w:szCs w:val="21"/>
              </w:rPr>
            </w:pPr>
            <w:r>
              <w:rPr>
                <w:sz w:val="21"/>
                <w:szCs w:val="21"/>
              </w:rPr>
              <w:t>160906</w:t>
            </w:r>
          </w:p>
        </w:tc>
        <w:tc>
          <w:tcPr>
            <w:tcW w:w="2977" w:type="dxa"/>
          </w:tcPr>
          <w:p>
            <w:pPr>
              <w:jc w:val="center"/>
              <w:rPr>
                <w:sz w:val="21"/>
                <w:szCs w:val="21"/>
              </w:rPr>
            </w:pPr>
            <w:r>
              <w:rPr>
                <w:sz w:val="21"/>
                <w:szCs w:val="21"/>
              </w:rPr>
              <w:t>0.0255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74" w:type="dxa"/>
            <w:vMerge w:val="restart"/>
            <w:vAlign w:val="center"/>
          </w:tcPr>
          <w:p>
            <w:pPr>
              <w:jc w:val="center"/>
              <w:rPr>
                <w:sz w:val="21"/>
                <w:szCs w:val="21"/>
              </w:rPr>
            </w:pPr>
            <w:r>
              <w:rPr>
                <w:sz w:val="21"/>
                <w:szCs w:val="21"/>
              </w:rPr>
              <w:t>463</w:t>
            </w:r>
          </w:p>
        </w:tc>
        <w:tc>
          <w:tcPr>
            <w:tcW w:w="1588" w:type="dxa"/>
          </w:tcPr>
          <w:p>
            <w:pPr>
              <w:jc w:val="center"/>
              <w:rPr>
                <w:sz w:val="21"/>
                <w:szCs w:val="21"/>
              </w:rPr>
            </w:pPr>
            <w:r>
              <w:rPr>
                <w:sz w:val="21"/>
                <w:szCs w:val="21"/>
              </w:rPr>
              <w:t>151106</w:t>
            </w:r>
          </w:p>
        </w:tc>
        <w:tc>
          <w:tcPr>
            <w:tcW w:w="2977" w:type="dxa"/>
          </w:tcPr>
          <w:p>
            <w:pPr>
              <w:jc w:val="center"/>
              <w:rPr>
                <w:sz w:val="21"/>
                <w:szCs w:val="21"/>
              </w:rPr>
            </w:pPr>
            <w:r>
              <w:rPr>
                <w:sz w:val="21"/>
                <w:szCs w:val="21"/>
              </w:rPr>
              <w:t>0.0352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74" w:type="dxa"/>
            <w:vMerge w:val="continue"/>
          </w:tcPr>
          <w:p>
            <w:pPr>
              <w:pStyle w:val="2"/>
              <w:jc w:val="center"/>
              <w:rPr>
                <w:sz w:val="21"/>
                <w:szCs w:val="21"/>
              </w:rPr>
            </w:pPr>
          </w:p>
        </w:tc>
        <w:tc>
          <w:tcPr>
            <w:tcW w:w="1588" w:type="dxa"/>
          </w:tcPr>
          <w:p>
            <w:pPr>
              <w:pStyle w:val="2"/>
              <w:jc w:val="center"/>
              <w:rPr>
                <w:sz w:val="21"/>
                <w:szCs w:val="21"/>
              </w:rPr>
            </w:pPr>
            <w:r>
              <w:rPr>
                <w:sz w:val="21"/>
                <w:szCs w:val="21"/>
              </w:rPr>
              <w:t>160904</w:t>
            </w:r>
          </w:p>
        </w:tc>
        <w:tc>
          <w:tcPr>
            <w:tcW w:w="2977" w:type="dxa"/>
          </w:tcPr>
          <w:p>
            <w:pPr>
              <w:jc w:val="center"/>
              <w:rPr>
                <w:sz w:val="21"/>
                <w:szCs w:val="21"/>
              </w:rPr>
            </w:pPr>
            <w:r>
              <w:rPr>
                <w:sz w:val="21"/>
                <w:szCs w:val="21"/>
              </w:rPr>
              <w:t>0.0285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74" w:type="dxa"/>
            <w:vMerge w:val="continue"/>
          </w:tcPr>
          <w:p>
            <w:pPr>
              <w:pStyle w:val="2"/>
              <w:jc w:val="center"/>
              <w:rPr>
                <w:sz w:val="21"/>
                <w:szCs w:val="21"/>
              </w:rPr>
            </w:pPr>
          </w:p>
        </w:tc>
        <w:tc>
          <w:tcPr>
            <w:tcW w:w="1588" w:type="dxa"/>
          </w:tcPr>
          <w:p>
            <w:pPr>
              <w:pStyle w:val="2"/>
              <w:jc w:val="center"/>
              <w:rPr>
                <w:sz w:val="21"/>
                <w:szCs w:val="21"/>
              </w:rPr>
            </w:pPr>
            <w:r>
              <w:rPr>
                <w:sz w:val="21"/>
                <w:szCs w:val="21"/>
              </w:rPr>
              <w:t>161005</w:t>
            </w:r>
          </w:p>
        </w:tc>
        <w:tc>
          <w:tcPr>
            <w:tcW w:w="2977" w:type="dxa"/>
          </w:tcPr>
          <w:p>
            <w:pPr>
              <w:jc w:val="center"/>
              <w:rPr>
                <w:sz w:val="21"/>
                <w:szCs w:val="21"/>
              </w:rPr>
            </w:pPr>
            <w:r>
              <w:rPr>
                <w:sz w:val="21"/>
                <w:szCs w:val="21"/>
              </w:rPr>
              <w:t>0.0350</w:t>
            </w:r>
          </w:p>
        </w:tc>
      </w:tr>
    </w:tbl>
    <w:p>
      <w:pPr>
        <w:pStyle w:val="5"/>
      </w:pPr>
      <w:r>
        <w:rPr>
          <w:rFonts w:hint="eastAsia"/>
        </w:rPr>
        <w:t>3.1.6 耐光性、耐热性、迁移性的实验结果</w:t>
      </w:r>
    </w:p>
    <w:p>
      <w:pPr>
        <w:pStyle w:val="2"/>
        <w:ind w:firstLine="480"/>
      </w:pPr>
      <w:r>
        <w:rPr>
          <w:rFonts w:hint="eastAsia"/>
        </w:rPr>
        <w:t>群青产品的耐光性、耐热性、迁移性与原料和生产工艺密切相关，在不改变原料和生产工艺的前提下，各产品所对应的耐光性、耐热性和迁移性是固定的。依据推荐性国家标准GB/T 1710</w:t>
      </w:r>
      <w:bookmarkStart w:id="2" w:name="OLE_LINK11"/>
      <w:bookmarkStart w:id="3" w:name="OLE_LINK12"/>
      <w:r>
        <w:rPr>
          <w:rFonts w:hint="eastAsia"/>
        </w:rPr>
        <w:t>－</w:t>
      </w:r>
      <w:bookmarkEnd w:id="2"/>
      <w:bookmarkEnd w:id="3"/>
      <w:r>
        <w:rPr>
          <w:rFonts w:hint="eastAsia"/>
        </w:rPr>
        <w:t>2008，化工行业标准</w:t>
      </w:r>
      <w:r>
        <w:t>HG/T 4767.2</w:t>
      </w:r>
      <w:r>
        <w:rPr>
          <w:rFonts w:hint="eastAsia"/>
        </w:rPr>
        <w:t>-2014、</w:t>
      </w:r>
      <w:r>
        <w:t>HG/T 4767.4</w:t>
      </w:r>
      <w:r>
        <w:rPr>
          <w:rFonts w:hint="eastAsia"/>
        </w:rPr>
        <w:t>-2014可分别测得该组样品的耐光性与参比样品相比无显著差异，耐热性为350℃，迁移性为5级。工作组再次收集了包括原料在内的15个群青样品（包括蓝色、紫色、粉红色），由山东省产品质量检验研究院和天蓝颜料（山东）有限公司进行测定其耐光性、耐热性和迁移性，15个群青样品的耐光性与参比样品相比无显著差异，迁移性为5级。蓝色群青产品的耐热性为350℃，紫色和粉红色的群青产品的耐热性为300℃。以上实验结果均符合标准设定的参数。</w:t>
      </w:r>
    </w:p>
    <w:p>
      <w:pPr>
        <w:pStyle w:val="5"/>
      </w:pPr>
      <w:r>
        <w:rPr>
          <w:rFonts w:hint="eastAsia"/>
        </w:rPr>
        <w:t>3.1.7砷、铅、镉、铬、汞有害元素含量的实验结果</w:t>
      </w:r>
    </w:p>
    <w:p>
      <w:pPr>
        <w:pStyle w:val="2"/>
        <w:ind w:firstLine="480"/>
      </w:pPr>
      <w:r>
        <w:rPr>
          <w:rFonts w:hint="eastAsia"/>
        </w:rPr>
        <w:t>本标准中的有害元素主要是指汞、镉、铅、铬以及类金属砷等生物毒性显著的重元素。有害元素不能被生物降解，相反却能在食物链的生物放大作用下，成千百倍地富集，最后进入人体。有害元素大多都能抑制生物酶的活性，破坏正常的生物化学反应，使其丧失或改变了原来的生理化学功能而产生病变。此外有害元素也可能在人体的某些器官中富集，造成慢性中毒。因此颜料中的有害元素含量的高低直接影响着人的生命安全。群青颜料中的有害元素主要来自于高岭土、纯碱、硫磺等原料中。依据相应的实验方法可测得各种颜料中相对应的汞、镉、铅、铬以及类金属砷的含量，结果如表6所示。</w:t>
      </w:r>
    </w:p>
    <w:p>
      <w:pPr>
        <w:pStyle w:val="2"/>
        <w:jc w:val="center"/>
        <w:rPr>
          <w:sz w:val="21"/>
          <w:szCs w:val="21"/>
        </w:rPr>
      </w:pPr>
      <w:r>
        <w:rPr>
          <w:rFonts w:hint="eastAsia"/>
          <w:sz w:val="21"/>
          <w:szCs w:val="21"/>
        </w:rPr>
        <w:t>表6 产品中有害元素含量的结果</w:t>
      </w:r>
    </w:p>
    <w:tbl>
      <w:tblPr>
        <w:tblStyle w:val="12"/>
        <w:tblW w:w="78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992"/>
        <w:gridCol w:w="1173"/>
        <w:gridCol w:w="1173"/>
        <w:gridCol w:w="1173"/>
        <w:gridCol w:w="1173"/>
        <w:gridCol w:w="1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51" w:type="dxa"/>
            <w:gridSpan w:val="2"/>
            <w:vAlign w:val="center"/>
          </w:tcPr>
          <w:p>
            <w:pPr>
              <w:pStyle w:val="2"/>
              <w:jc w:val="center"/>
              <w:rPr>
                <w:rFonts w:ascii="Calibri" w:hAnsi="Calibri"/>
                <w:sz w:val="21"/>
                <w:szCs w:val="21"/>
              </w:rPr>
            </w:pPr>
            <w:r>
              <w:rPr>
                <w:rFonts w:hint="eastAsia" w:ascii="Calibri" w:hAnsi="Calibri"/>
                <w:sz w:val="21"/>
                <w:szCs w:val="21"/>
              </w:rPr>
              <w:t>颜料名称</w:t>
            </w:r>
          </w:p>
        </w:tc>
        <w:tc>
          <w:tcPr>
            <w:tcW w:w="1173" w:type="dxa"/>
            <w:vAlign w:val="center"/>
          </w:tcPr>
          <w:p>
            <w:pPr>
              <w:spacing w:line="276" w:lineRule="auto"/>
              <w:jc w:val="center"/>
              <w:rPr>
                <w:sz w:val="21"/>
                <w:szCs w:val="21"/>
              </w:rPr>
            </w:pPr>
            <w:r>
              <w:rPr>
                <w:rFonts w:hint="eastAsia"/>
                <w:sz w:val="21"/>
                <w:szCs w:val="21"/>
              </w:rPr>
              <w:t>Hg（mg/kg）</w:t>
            </w:r>
          </w:p>
        </w:tc>
        <w:tc>
          <w:tcPr>
            <w:tcW w:w="1173" w:type="dxa"/>
          </w:tcPr>
          <w:p>
            <w:pPr>
              <w:spacing w:line="276" w:lineRule="auto"/>
              <w:jc w:val="center"/>
              <w:rPr>
                <w:rFonts w:hAnsi="Calibri"/>
                <w:sz w:val="21"/>
                <w:szCs w:val="21"/>
              </w:rPr>
            </w:pPr>
            <w:r>
              <w:rPr>
                <w:rFonts w:hint="eastAsia" w:hAnsi="Calibri"/>
                <w:sz w:val="21"/>
                <w:szCs w:val="21"/>
              </w:rPr>
              <w:t>As</w:t>
            </w:r>
          </w:p>
          <w:p>
            <w:pPr>
              <w:spacing w:line="276" w:lineRule="auto"/>
              <w:jc w:val="center"/>
              <w:rPr>
                <w:rFonts w:hAnsi="Calibri"/>
                <w:sz w:val="21"/>
                <w:szCs w:val="21"/>
              </w:rPr>
            </w:pPr>
            <w:r>
              <w:rPr>
                <w:rFonts w:hint="eastAsia"/>
                <w:sz w:val="21"/>
                <w:szCs w:val="21"/>
              </w:rPr>
              <w:t>（mg/kg）</w:t>
            </w:r>
          </w:p>
        </w:tc>
        <w:tc>
          <w:tcPr>
            <w:tcW w:w="1173" w:type="dxa"/>
          </w:tcPr>
          <w:p>
            <w:pPr>
              <w:spacing w:line="276" w:lineRule="auto"/>
              <w:jc w:val="center"/>
              <w:rPr>
                <w:rFonts w:hAnsi="Calibri"/>
                <w:sz w:val="21"/>
                <w:szCs w:val="21"/>
              </w:rPr>
            </w:pPr>
            <w:r>
              <w:rPr>
                <w:rFonts w:hint="eastAsia" w:hAnsi="Calibri"/>
                <w:sz w:val="21"/>
                <w:szCs w:val="21"/>
              </w:rPr>
              <w:t>Cr</w:t>
            </w:r>
          </w:p>
          <w:p>
            <w:pPr>
              <w:spacing w:line="276" w:lineRule="auto"/>
              <w:jc w:val="center"/>
              <w:rPr>
                <w:rFonts w:hAnsi="Calibri"/>
                <w:sz w:val="21"/>
                <w:szCs w:val="21"/>
              </w:rPr>
            </w:pPr>
            <w:r>
              <w:rPr>
                <w:rFonts w:hint="eastAsia"/>
                <w:sz w:val="21"/>
                <w:szCs w:val="21"/>
              </w:rPr>
              <w:t>（mg/kg）</w:t>
            </w:r>
          </w:p>
        </w:tc>
        <w:tc>
          <w:tcPr>
            <w:tcW w:w="1173" w:type="dxa"/>
          </w:tcPr>
          <w:p>
            <w:pPr>
              <w:spacing w:line="276" w:lineRule="auto"/>
              <w:jc w:val="center"/>
              <w:rPr>
                <w:rFonts w:hAnsi="Calibri"/>
                <w:sz w:val="21"/>
                <w:szCs w:val="21"/>
              </w:rPr>
            </w:pPr>
            <w:r>
              <w:rPr>
                <w:rFonts w:hint="eastAsia" w:hAnsi="Calibri"/>
                <w:sz w:val="21"/>
                <w:szCs w:val="21"/>
              </w:rPr>
              <w:t>Cd</w:t>
            </w:r>
            <w:r>
              <w:rPr>
                <w:rFonts w:hint="eastAsia"/>
                <w:sz w:val="21"/>
                <w:szCs w:val="21"/>
              </w:rPr>
              <w:t>（mg/kg）</w:t>
            </w:r>
          </w:p>
        </w:tc>
        <w:tc>
          <w:tcPr>
            <w:tcW w:w="1173" w:type="dxa"/>
          </w:tcPr>
          <w:p>
            <w:pPr>
              <w:spacing w:line="276" w:lineRule="auto"/>
              <w:jc w:val="center"/>
              <w:rPr>
                <w:rFonts w:hAnsi="Calibri"/>
                <w:sz w:val="21"/>
                <w:szCs w:val="21"/>
              </w:rPr>
            </w:pPr>
            <w:r>
              <w:rPr>
                <w:rFonts w:hint="eastAsia" w:hAnsi="Calibri"/>
                <w:sz w:val="21"/>
                <w:szCs w:val="21"/>
              </w:rPr>
              <w:t>Pb</w:t>
            </w:r>
            <w:r>
              <w:rPr>
                <w:rFonts w:hint="eastAsia"/>
                <w:sz w:val="21"/>
                <w:szCs w:val="21"/>
              </w:rPr>
              <w:t>（mg/kg）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9" w:type="dxa"/>
            <w:vMerge w:val="restart"/>
            <w:vAlign w:val="center"/>
          </w:tcPr>
          <w:p>
            <w:pPr>
              <w:jc w:val="center"/>
              <w:rPr>
                <w:sz w:val="21"/>
                <w:szCs w:val="21"/>
              </w:rPr>
            </w:pPr>
            <w:r>
              <w:rPr>
                <w:rFonts w:hAnsi="Calibri"/>
                <w:sz w:val="21"/>
                <w:szCs w:val="21"/>
              </w:rPr>
              <w:t>兰相</w:t>
            </w:r>
            <w:r>
              <w:rPr>
                <w:sz w:val="21"/>
                <w:szCs w:val="21"/>
              </w:rPr>
              <w:t>TL1515</w:t>
            </w:r>
          </w:p>
        </w:tc>
        <w:tc>
          <w:tcPr>
            <w:tcW w:w="992" w:type="dxa"/>
          </w:tcPr>
          <w:p>
            <w:pPr>
              <w:jc w:val="center"/>
              <w:rPr>
                <w:sz w:val="21"/>
                <w:szCs w:val="21"/>
              </w:rPr>
            </w:pPr>
            <w:r>
              <w:rPr>
                <w:sz w:val="21"/>
                <w:szCs w:val="21"/>
              </w:rPr>
              <w:t>150105</w:t>
            </w:r>
          </w:p>
        </w:tc>
        <w:tc>
          <w:tcPr>
            <w:tcW w:w="1173" w:type="dxa"/>
          </w:tcPr>
          <w:p>
            <w:pPr>
              <w:jc w:val="center"/>
              <w:rPr>
                <w:sz w:val="21"/>
                <w:szCs w:val="21"/>
              </w:rPr>
            </w:pPr>
            <w:r>
              <w:rPr>
                <w:rFonts w:hint="eastAsia"/>
                <w:sz w:val="21"/>
                <w:szCs w:val="21"/>
              </w:rPr>
              <w:t>0.5638</w:t>
            </w:r>
          </w:p>
        </w:tc>
        <w:tc>
          <w:tcPr>
            <w:tcW w:w="1173" w:type="dxa"/>
          </w:tcPr>
          <w:p>
            <w:pPr>
              <w:jc w:val="center"/>
              <w:rPr>
                <w:sz w:val="21"/>
                <w:szCs w:val="21"/>
              </w:rPr>
            </w:pPr>
            <w:r>
              <w:rPr>
                <w:rFonts w:hint="eastAsia"/>
                <w:sz w:val="21"/>
                <w:szCs w:val="21"/>
              </w:rPr>
              <w:t>1.3280</w:t>
            </w:r>
          </w:p>
        </w:tc>
        <w:tc>
          <w:tcPr>
            <w:tcW w:w="1173" w:type="dxa"/>
          </w:tcPr>
          <w:p>
            <w:pPr>
              <w:jc w:val="center"/>
              <w:rPr>
                <w:sz w:val="21"/>
                <w:szCs w:val="21"/>
              </w:rPr>
            </w:pPr>
            <w:r>
              <w:rPr>
                <w:rFonts w:hint="eastAsia"/>
                <w:sz w:val="21"/>
                <w:szCs w:val="21"/>
              </w:rPr>
              <w:t>42.08</w:t>
            </w:r>
          </w:p>
        </w:tc>
        <w:tc>
          <w:tcPr>
            <w:tcW w:w="1173" w:type="dxa"/>
          </w:tcPr>
          <w:p>
            <w:pPr>
              <w:jc w:val="center"/>
              <w:rPr>
                <w:sz w:val="21"/>
                <w:szCs w:val="21"/>
              </w:rPr>
            </w:pPr>
            <w:r>
              <w:rPr>
                <w:rFonts w:hint="eastAsia"/>
                <w:sz w:val="21"/>
                <w:szCs w:val="21"/>
              </w:rPr>
              <w:t>30.25</w:t>
            </w:r>
          </w:p>
        </w:tc>
        <w:tc>
          <w:tcPr>
            <w:tcW w:w="1173" w:type="dxa"/>
          </w:tcPr>
          <w:p>
            <w:pPr>
              <w:jc w:val="center"/>
              <w:rPr>
                <w:sz w:val="21"/>
                <w:szCs w:val="21"/>
              </w:rPr>
            </w:pPr>
            <w:r>
              <w:rPr>
                <w:rFonts w:hint="eastAsia"/>
                <w:sz w:val="21"/>
                <w:szCs w:val="21"/>
              </w:rPr>
              <w:t>83.14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9" w:type="dxa"/>
            <w:vMerge w:val="continue"/>
          </w:tcPr>
          <w:p>
            <w:pPr>
              <w:pStyle w:val="2"/>
              <w:jc w:val="center"/>
              <w:rPr>
                <w:sz w:val="21"/>
                <w:szCs w:val="21"/>
              </w:rPr>
            </w:pPr>
          </w:p>
        </w:tc>
        <w:tc>
          <w:tcPr>
            <w:tcW w:w="992" w:type="dxa"/>
          </w:tcPr>
          <w:p>
            <w:pPr>
              <w:pStyle w:val="2"/>
              <w:jc w:val="center"/>
              <w:rPr>
                <w:sz w:val="21"/>
                <w:szCs w:val="21"/>
              </w:rPr>
            </w:pPr>
            <w:r>
              <w:rPr>
                <w:sz w:val="21"/>
                <w:szCs w:val="21"/>
              </w:rPr>
              <w:t>1</w:t>
            </w:r>
            <w:r>
              <w:rPr>
                <w:rFonts w:hint="eastAsia"/>
                <w:sz w:val="21"/>
                <w:szCs w:val="21"/>
              </w:rPr>
              <w:t>5</w:t>
            </w:r>
            <w:r>
              <w:rPr>
                <w:sz w:val="21"/>
                <w:szCs w:val="21"/>
              </w:rPr>
              <w:t>090</w:t>
            </w:r>
            <w:r>
              <w:rPr>
                <w:rFonts w:hint="eastAsia"/>
                <w:sz w:val="21"/>
                <w:szCs w:val="21"/>
              </w:rPr>
              <w:t>3</w:t>
            </w:r>
          </w:p>
        </w:tc>
        <w:tc>
          <w:tcPr>
            <w:tcW w:w="1173" w:type="dxa"/>
          </w:tcPr>
          <w:p>
            <w:pPr>
              <w:jc w:val="center"/>
              <w:rPr>
                <w:sz w:val="21"/>
                <w:szCs w:val="21"/>
              </w:rPr>
            </w:pPr>
            <w:r>
              <w:rPr>
                <w:rFonts w:hint="eastAsia"/>
                <w:sz w:val="21"/>
                <w:szCs w:val="21"/>
              </w:rPr>
              <w:t>0.3772</w:t>
            </w:r>
          </w:p>
        </w:tc>
        <w:tc>
          <w:tcPr>
            <w:tcW w:w="1173" w:type="dxa"/>
          </w:tcPr>
          <w:p>
            <w:pPr>
              <w:jc w:val="center"/>
              <w:rPr>
                <w:sz w:val="21"/>
                <w:szCs w:val="21"/>
              </w:rPr>
            </w:pPr>
            <w:r>
              <w:rPr>
                <w:rFonts w:hint="eastAsia"/>
                <w:sz w:val="21"/>
                <w:szCs w:val="21"/>
              </w:rPr>
              <w:t>0.8196</w:t>
            </w:r>
          </w:p>
        </w:tc>
        <w:tc>
          <w:tcPr>
            <w:tcW w:w="1173" w:type="dxa"/>
          </w:tcPr>
          <w:p>
            <w:pPr>
              <w:jc w:val="center"/>
              <w:rPr>
                <w:sz w:val="21"/>
                <w:szCs w:val="21"/>
              </w:rPr>
            </w:pPr>
            <w:r>
              <w:rPr>
                <w:rFonts w:hint="eastAsia"/>
                <w:sz w:val="21"/>
                <w:szCs w:val="21"/>
              </w:rPr>
              <w:t>44.52</w:t>
            </w:r>
          </w:p>
        </w:tc>
        <w:tc>
          <w:tcPr>
            <w:tcW w:w="1173" w:type="dxa"/>
          </w:tcPr>
          <w:p>
            <w:pPr>
              <w:jc w:val="center"/>
              <w:rPr>
                <w:sz w:val="21"/>
                <w:szCs w:val="21"/>
              </w:rPr>
            </w:pPr>
            <w:r>
              <w:rPr>
                <w:rFonts w:hint="eastAsia"/>
                <w:sz w:val="21"/>
                <w:szCs w:val="21"/>
              </w:rPr>
              <w:t>33.48</w:t>
            </w:r>
          </w:p>
        </w:tc>
        <w:tc>
          <w:tcPr>
            <w:tcW w:w="1173" w:type="dxa"/>
          </w:tcPr>
          <w:p>
            <w:pPr>
              <w:jc w:val="center"/>
              <w:rPr>
                <w:sz w:val="21"/>
                <w:szCs w:val="21"/>
              </w:rPr>
            </w:pPr>
            <w:r>
              <w:rPr>
                <w:rFonts w:hint="eastAsia"/>
                <w:sz w:val="21"/>
                <w:szCs w:val="21"/>
              </w:rPr>
              <w:t>80.17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9" w:type="dxa"/>
            <w:vMerge w:val="continue"/>
          </w:tcPr>
          <w:p>
            <w:pPr>
              <w:pStyle w:val="2"/>
              <w:jc w:val="center"/>
              <w:rPr>
                <w:sz w:val="21"/>
                <w:szCs w:val="21"/>
              </w:rPr>
            </w:pPr>
          </w:p>
        </w:tc>
        <w:tc>
          <w:tcPr>
            <w:tcW w:w="992" w:type="dxa"/>
          </w:tcPr>
          <w:p>
            <w:pPr>
              <w:pStyle w:val="2"/>
              <w:jc w:val="center"/>
              <w:rPr>
                <w:sz w:val="21"/>
                <w:szCs w:val="21"/>
              </w:rPr>
            </w:pPr>
            <w:r>
              <w:rPr>
                <w:sz w:val="21"/>
                <w:szCs w:val="21"/>
              </w:rPr>
              <w:t>160701</w:t>
            </w:r>
          </w:p>
        </w:tc>
        <w:tc>
          <w:tcPr>
            <w:tcW w:w="1173" w:type="dxa"/>
          </w:tcPr>
          <w:p>
            <w:pPr>
              <w:jc w:val="center"/>
              <w:rPr>
                <w:sz w:val="21"/>
                <w:szCs w:val="21"/>
              </w:rPr>
            </w:pPr>
            <w:r>
              <w:rPr>
                <w:rFonts w:hint="eastAsia"/>
                <w:sz w:val="21"/>
                <w:szCs w:val="21"/>
              </w:rPr>
              <w:t>0.3700</w:t>
            </w:r>
          </w:p>
        </w:tc>
        <w:tc>
          <w:tcPr>
            <w:tcW w:w="1173" w:type="dxa"/>
          </w:tcPr>
          <w:p>
            <w:pPr>
              <w:jc w:val="center"/>
              <w:rPr>
                <w:sz w:val="21"/>
                <w:szCs w:val="21"/>
              </w:rPr>
            </w:pPr>
            <w:r>
              <w:rPr>
                <w:rFonts w:hint="eastAsia"/>
                <w:sz w:val="21"/>
                <w:szCs w:val="21"/>
              </w:rPr>
              <w:t>0.8786</w:t>
            </w:r>
          </w:p>
        </w:tc>
        <w:tc>
          <w:tcPr>
            <w:tcW w:w="1173" w:type="dxa"/>
          </w:tcPr>
          <w:p>
            <w:pPr>
              <w:jc w:val="center"/>
              <w:rPr>
                <w:sz w:val="21"/>
                <w:szCs w:val="21"/>
              </w:rPr>
            </w:pPr>
            <w:r>
              <w:rPr>
                <w:rFonts w:hint="eastAsia"/>
                <w:sz w:val="21"/>
                <w:szCs w:val="21"/>
              </w:rPr>
              <w:t>34.94</w:t>
            </w:r>
          </w:p>
        </w:tc>
        <w:tc>
          <w:tcPr>
            <w:tcW w:w="1173" w:type="dxa"/>
          </w:tcPr>
          <w:p>
            <w:pPr>
              <w:jc w:val="center"/>
              <w:rPr>
                <w:sz w:val="21"/>
                <w:szCs w:val="21"/>
              </w:rPr>
            </w:pPr>
            <w:r>
              <w:rPr>
                <w:rFonts w:hint="eastAsia"/>
                <w:sz w:val="21"/>
                <w:szCs w:val="21"/>
              </w:rPr>
              <w:t>29.33</w:t>
            </w:r>
          </w:p>
        </w:tc>
        <w:tc>
          <w:tcPr>
            <w:tcW w:w="1173" w:type="dxa"/>
          </w:tcPr>
          <w:p>
            <w:pPr>
              <w:jc w:val="center"/>
              <w:rPr>
                <w:sz w:val="21"/>
                <w:szCs w:val="21"/>
              </w:rPr>
            </w:pPr>
            <w:r>
              <w:rPr>
                <w:rFonts w:hint="eastAsia"/>
                <w:sz w:val="21"/>
                <w:szCs w:val="21"/>
              </w:rPr>
              <w:t>82.37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9" w:type="dxa"/>
            <w:vMerge w:val="restart"/>
            <w:vAlign w:val="center"/>
          </w:tcPr>
          <w:p>
            <w:pPr>
              <w:jc w:val="center"/>
              <w:rPr>
                <w:sz w:val="21"/>
                <w:szCs w:val="21"/>
              </w:rPr>
            </w:pPr>
            <w:r>
              <w:rPr>
                <w:rFonts w:hAnsi="Calibri"/>
                <w:sz w:val="21"/>
                <w:szCs w:val="21"/>
              </w:rPr>
              <w:t>红相</w:t>
            </w:r>
            <w:r>
              <w:rPr>
                <w:sz w:val="21"/>
                <w:szCs w:val="21"/>
              </w:rPr>
              <w:t>800</w:t>
            </w:r>
          </w:p>
        </w:tc>
        <w:tc>
          <w:tcPr>
            <w:tcW w:w="992" w:type="dxa"/>
          </w:tcPr>
          <w:p>
            <w:pPr>
              <w:jc w:val="center"/>
              <w:rPr>
                <w:sz w:val="21"/>
                <w:szCs w:val="21"/>
              </w:rPr>
            </w:pPr>
            <w:r>
              <w:rPr>
                <w:sz w:val="21"/>
                <w:szCs w:val="21"/>
              </w:rPr>
              <w:t>131103</w:t>
            </w:r>
          </w:p>
        </w:tc>
        <w:tc>
          <w:tcPr>
            <w:tcW w:w="1173" w:type="dxa"/>
          </w:tcPr>
          <w:p>
            <w:pPr>
              <w:jc w:val="center"/>
              <w:rPr>
                <w:sz w:val="21"/>
                <w:szCs w:val="21"/>
              </w:rPr>
            </w:pPr>
            <w:r>
              <w:rPr>
                <w:rFonts w:hint="eastAsia"/>
                <w:sz w:val="21"/>
                <w:szCs w:val="21"/>
              </w:rPr>
              <w:t>0.4586</w:t>
            </w:r>
          </w:p>
        </w:tc>
        <w:tc>
          <w:tcPr>
            <w:tcW w:w="1173" w:type="dxa"/>
          </w:tcPr>
          <w:p>
            <w:pPr>
              <w:jc w:val="center"/>
              <w:rPr>
                <w:sz w:val="21"/>
                <w:szCs w:val="21"/>
              </w:rPr>
            </w:pPr>
            <w:r>
              <w:rPr>
                <w:rFonts w:hint="eastAsia"/>
                <w:sz w:val="21"/>
                <w:szCs w:val="21"/>
              </w:rPr>
              <w:t>1.1588</w:t>
            </w:r>
          </w:p>
        </w:tc>
        <w:tc>
          <w:tcPr>
            <w:tcW w:w="1173" w:type="dxa"/>
          </w:tcPr>
          <w:p>
            <w:pPr>
              <w:jc w:val="center"/>
              <w:rPr>
                <w:sz w:val="21"/>
                <w:szCs w:val="21"/>
              </w:rPr>
            </w:pPr>
            <w:r>
              <w:rPr>
                <w:rFonts w:hint="eastAsia"/>
                <w:sz w:val="21"/>
                <w:szCs w:val="21"/>
              </w:rPr>
              <w:t>30.23</w:t>
            </w:r>
          </w:p>
        </w:tc>
        <w:tc>
          <w:tcPr>
            <w:tcW w:w="1173" w:type="dxa"/>
          </w:tcPr>
          <w:p>
            <w:pPr>
              <w:jc w:val="center"/>
              <w:rPr>
                <w:sz w:val="21"/>
                <w:szCs w:val="21"/>
              </w:rPr>
            </w:pPr>
            <w:r>
              <w:rPr>
                <w:rFonts w:hint="eastAsia"/>
                <w:sz w:val="21"/>
                <w:szCs w:val="21"/>
              </w:rPr>
              <w:t>25.31</w:t>
            </w:r>
          </w:p>
        </w:tc>
        <w:tc>
          <w:tcPr>
            <w:tcW w:w="1173" w:type="dxa"/>
          </w:tcPr>
          <w:p>
            <w:pPr>
              <w:jc w:val="center"/>
              <w:rPr>
                <w:sz w:val="21"/>
                <w:szCs w:val="21"/>
              </w:rPr>
            </w:pPr>
            <w:r>
              <w:rPr>
                <w:rFonts w:hint="eastAsia"/>
                <w:sz w:val="21"/>
                <w:szCs w:val="21"/>
              </w:rPr>
              <w:t>71.39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9" w:type="dxa"/>
            <w:vMerge w:val="continue"/>
          </w:tcPr>
          <w:p>
            <w:pPr>
              <w:pStyle w:val="2"/>
              <w:jc w:val="center"/>
              <w:rPr>
                <w:sz w:val="21"/>
                <w:szCs w:val="21"/>
              </w:rPr>
            </w:pPr>
          </w:p>
        </w:tc>
        <w:tc>
          <w:tcPr>
            <w:tcW w:w="992" w:type="dxa"/>
          </w:tcPr>
          <w:p>
            <w:pPr>
              <w:pStyle w:val="2"/>
              <w:jc w:val="center"/>
              <w:rPr>
                <w:sz w:val="21"/>
                <w:szCs w:val="21"/>
              </w:rPr>
            </w:pPr>
            <w:r>
              <w:rPr>
                <w:sz w:val="21"/>
                <w:szCs w:val="21"/>
              </w:rPr>
              <w:t>160405</w:t>
            </w:r>
          </w:p>
        </w:tc>
        <w:tc>
          <w:tcPr>
            <w:tcW w:w="1173" w:type="dxa"/>
          </w:tcPr>
          <w:p>
            <w:pPr>
              <w:jc w:val="center"/>
              <w:rPr>
                <w:sz w:val="21"/>
                <w:szCs w:val="21"/>
              </w:rPr>
            </w:pPr>
            <w:r>
              <w:rPr>
                <w:rFonts w:hint="eastAsia"/>
                <w:sz w:val="21"/>
                <w:szCs w:val="21"/>
              </w:rPr>
              <w:t>0.3979</w:t>
            </w:r>
          </w:p>
        </w:tc>
        <w:tc>
          <w:tcPr>
            <w:tcW w:w="1173" w:type="dxa"/>
          </w:tcPr>
          <w:p>
            <w:pPr>
              <w:jc w:val="center"/>
              <w:rPr>
                <w:sz w:val="21"/>
                <w:szCs w:val="21"/>
              </w:rPr>
            </w:pPr>
            <w:r>
              <w:rPr>
                <w:rFonts w:hint="eastAsia"/>
                <w:sz w:val="21"/>
                <w:szCs w:val="21"/>
              </w:rPr>
              <w:t>1.3936</w:t>
            </w:r>
          </w:p>
        </w:tc>
        <w:tc>
          <w:tcPr>
            <w:tcW w:w="1173" w:type="dxa"/>
          </w:tcPr>
          <w:p>
            <w:pPr>
              <w:jc w:val="center"/>
              <w:rPr>
                <w:sz w:val="21"/>
                <w:szCs w:val="21"/>
              </w:rPr>
            </w:pPr>
            <w:r>
              <w:rPr>
                <w:rFonts w:hint="eastAsia"/>
                <w:sz w:val="21"/>
                <w:szCs w:val="21"/>
              </w:rPr>
              <w:t>35.69</w:t>
            </w:r>
          </w:p>
        </w:tc>
        <w:tc>
          <w:tcPr>
            <w:tcW w:w="1173" w:type="dxa"/>
          </w:tcPr>
          <w:p>
            <w:pPr>
              <w:jc w:val="center"/>
              <w:rPr>
                <w:sz w:val="21"/>
                <w:szCs w:val="21"/>
              </w:rPr>
            </w:pPr>
            <w:r>
              <w:rPr>
                <w:rFonts w:hint="eastAsia"/>
                <w:sz w:val="21"/>
                <w:szCs w:val="21"/>
              </w:rPr>
              <w:t>22.01</w:t>
            </w:r>
          </w:p>
        </w:tc>
        <w:tc>
          <w:tcPr>
            <w:tcW w:w="1173" w:type="dxa"/>
          </w:tcPr>
          <w:p>
            <w:pPr>
              <w:jc w:val="center"/>
              <w:rPr>
                <w:sz w:val="21"/>
                <w:szCs w:val="21"/>
              </w:rPr>
            </w:pPr>
            <w:r>
              <w:rPr>
                <w:rFonts w:hint="eastAsia"/>
                <w:sz w:val="21"/>
                <w:szCs w:val="21"/>
              </w:rPr>
              <w:t>75.08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9" w:type="dxa"/>
            <w:vMerge w:val="continue"/>
          </w:tcPr>
          <w:p>
            <w:pPr>
              <w:pStyle w:val="2"/>
              <w:jc w:val="center"/>
              <w:rPr>
                <w:sz w:val="21"/>
                <w:szCs w:val="21"/>
              </w:rPr>
            </w:pPr>
          </w:p>
        </w:tc>
        <w:tc>
          <w:tcPr>
            <w:tcW w:w="992" w:type="dxa"/>
          </w:tcPr>
          <w:p>
            <w:pPr>
              <w:pStyle w:val="2"/>
              <w:jc w:val="center"/>
              <w:rPr>
                <w:sz w:val="21"/>
                <w:szCs w:val="21"/>
              </w:rPr>
            </w:pPr>
            <w:r>
              <w:rPr>
                <w:sz w:val="21"/>
                <w:szCs w:val="21"/>
              </w:rPr>
              <w:t>160906</w:t>
            </w:r>
          </w:p>
        </w:tc>
        <w:tc>
          <w:tcPr>
            <w:tcW w:w="1173" w:type="dxa"/>
          </w:tcPr>
          <w:p>
            <w:pPr>
              <w:jc w:val="center"/>
              <w:rPr>
                <w:sz w:val="21"/>
                <w:szCs w:val="21"/>
              </w:rPr>
            </w:pPr>
            <w:r>
              <w:rPr>
                <w:rFonts w:hint="eastAsia"/>
                <w:sz w:val="21"/>
                <w:szCs w:val="21"/>
              </w:rPr>
              <w:t>0.4480</w:t>
            </w:r>
          </w:p>
        </w:tc>
        <w:tc>
          <w:tcPr>
            <w:tcW w:w="1173" w:type="dxa"/>
          </w:tcPr>
          <w:p>
            <w:pPr>
              <w:jc w:val="center"/>
              <w:rPr>
                <w:sz w:val="21"/>
                <w:szCs w:val="21"/>
              </w:rPr>
            </w:pPr>
            <w:r>
              <w:rPr>
                <w:rFonts w:hint="eastAsia"/>
                <w:sz w:val="21"/>
                <w:szCs w:val="21"/>
              </w:rPr>
              <w:t>1.9645</w:t>
            </w:r>
          </w:p>
        </w:tc>
        <w:tc>
          <w:tcPr>
            <w:tcW w:w="1173" w:type="dxa"/>
          </w:tcPr>
          <w:p>
            <w:pPr>
              <w:jc w:val="center"/>
              <w:rPr>
                <w:sz w:val="21"/>
                <w:szCs w:val="21"/>
              </w:rPr>
            </w:pPr>
            <w:r>
              <w:rPr>
                <w:rFonts w:hint="eastAsia"/>
                <w:sz w:val="21"/>
                <w:szCs w:val="21"/>
              </w:rPr>
              <w:t>38.58</w:t>
            </w:r>
          </w:p>
        </w:tc>
        <w:tc>
          <w:tcPr>
            <w:tcW w:w="1173" w:type="dxa"/>
          </w:tcPr>
          <w:p>
            <w:pPr>
              <w:jc w:val="center"/>
              <w:rPr>
                <w:sz w:val="21"/>
                <w:szCs w:val="21"/>
              </w:rPr>
            </w:pPr>
            <w:r>
              <w:rPr>
                <w:rFonts w:hint="eastAsia"/>
                <w:sz w:val="21"/>
                <w:szCs w:val="21"/>
              </w:rPr>
              <w:t>29.12</w:t>
            </w:r>
          </w:p>
        </w:tc>
        <w:tc>
          <w:tcPr>
            <w:tcW w:w="1173" w:type="dxa"/>
          </w:tcPr>
          <w:p>
            <w:pPr>
              <w:jc w:val="center"/>
              <w:rPr>
                <w:sz w:val="21"/>
                <w:szCs w:val="21"/>
              </w:rPr>
            </w:pPr>
            <w:r>
              <w:rPr>
                <w:rFonts w:hint="eastAsia"/>
                <w:sz w:val="21"/>
                <w:szCs w:val="21"/>
              </w:rPr>
              <w:t>79.19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9" w:type="dxa"/>
            <w:vMerge w:val="restart"/>
            <w:vAlign w:val="center"/>
          </w:tcPr>
          <w:p>
            <w:pPr>
              <w:jc w:val="center"/>
              <w:rPr>
                <w:sz w:val="21"/>
                <w:szCs w:val="21"/>
              </w:rPr>
            </w:pPr>
            <w:r>
              <w:rPr>
                <w:sz w:val="21"/>
                <w:szCs w:val="21"/>
              </w:rPr>
              <w:t>463</w:t>
            </w:r>
          </w:p>
        </w:tc>
        <w:tc>
          <w:tcPr>
            <w:tcW w:w="992" w:type="dxa"/>
          </w:tcPr>
          <w:p>
            <w:pPr>
              <w:jc w:val="center"/>
              <w:rPr>
                <w:sz w:val="21"/>
                <w:szCs w:val="21"/>
              </w:rPr>
            </w:pPr>
            <w:r>
              <w:rPr>
                <w:sz w:val="21"/>
                <w:szCs w:val="21"/>
              </w:rPr>
              <w:t>151106</w:t>
            </w:r>
          </w:p>
        </w:tc>
        <w:tc>
          <w:tcPr>
            <w:tcW w:w="1173" w:type="dxa"/>
          </w:tcPr>
          <w:p>
            <w:pPr>
              <w:jc w:val="center"/>
              <w:rPr>
                <w:sz w:val="21"/>
                <w:szCs w:val="21"/>
              </w:rPr>
            </w:pPr>
            <w:r>
              <w:rPr>
                <w:rFonts w:hint="eastAsia"/>
                <w:sz w:val="21"/>
                <w:szCs w:val="21"/>
              </w:rPr>
              <w:t>0.6955</w:t>
            </w:r>
          </w:p>
        </w:tc>
        <w:tc>
          <w:tcPr>
            <w:tcW w:w="1173" w:type="dxa"/>
          </w:tcPr>
          <w:p>
            <w:pPr>
              <w:jc w:val="center"/>
              <w:rPr>
                <w:sz w:val="21"/>
                <w:szCs w:val="21"/>
              </w:rPr>
            </w:pPr>
            <w:r>
              <w:rPr>
                <w:rFonts w:hint="eastAsia"/>
                <w:sz w:val="21"/>
                <w:szCs w:val="21"/>
              </w:rPr>
              <w:t>1.0583</w:t>
            </w:r>
          </w:p>
        </w:tc>
        <w:tc>
          <w:tcPr>
            <w:tcW w:w="1173" w:type="dxa"/>
          </w:tcPr>
          <w:p>
            <w:pPr>
              <w:jc w:val="center"/>
              <w:rPr>
                <w:sz w:val="21"/>
                <w:szCs w:val="21"/>
              </w:rPr>
            </w:pPr>
            <w:r>
              <w:rPr>
                <w:rFonts w:hint="eastAsia"/>
                <w:sz w:val="21"/>
                <w:szCs w:val="21"/>
              </w:rPr>
              <w:t>46.89</w:t>
            </w:r>
          </w:p>
        </w:tc>
        <w:tc>
          <w:tcPr>
            <w:tcW w:w="1173" w:type="dxa"/>
          </w:tcPr>
          <w:p>
            <w:pPr>
              <w:jc w:val="center"/>
              <w:rPr>
                <w:sz w:val="21"/>
                <w:szCs w:val="21"/>
              </w:rPr>
            </w:pPr>
            <w:r>
              <w:rPr>
                <w:rFonts w:hint="eastAsia"/>
                <w:sz w:val="21"/>
                <w:szCs w:val="21"/>
              </w:rPr>
              <w:t>36.02</w:t>
            </w:r>
          </w:p>
        </w:tc>
        <w:tc>
          <w:tcPr>
            <w:tcW w:w="1173" w:type="dxa"/>
          </w:tcPr>
          <w:p>
            <w:pPr>
              <w:jc w:val="center"/>
              <w:rPr>
                <w:sz w:val="21"/>
                <w:szCs w:val="21"/>
              </w:rPr>
            </w:pPr>
            <w:r>
              <w:rPr>
                <w:rFonts w:hint="eastAsia"/>
                <w:sz w:val="21"/>
                <w:szCs w:val="21"/>
              </w:rPr>
              <w:t>65.37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9" w:type="dxa"/>
            <w:vMerge w:val="continue"/>
          </w:tcPr>
          <w:p>
            <w:pPr>
              <w:pStyle w:val="2"/>
              <w:jc w:val="center"/>
              <w:rPr>
                <w:sz w:val="21"/>
                <w:szCs w:val="21"/>
              </w:rPr>
            </w:pPr>
          </w:p>
        </w:tc>
        <w:tc>
          <w:tcPr>
            <w:tcW w:w="992" w:type="dxa"/>
          </w:tcPr>
          <w:p>
            <w:pPr>
              <w:pStyle w:val="2"/>
              <w:jc w:val="center"/>
              <w:rPr>
                <w:sz w:val="21"/>
                <w:szCs w:val="21"/>
              </w:rPr>
            </w:pPr>
            <w:r>
              <w:rPr>
                <w:sz w:val="21"/>
                <w:szCs w:val="21"/>
              </w:rPr>
              <w:t>160904</w:t>
            </w:r>
          </w:p>
        </w:tc>
        <w:tc>
          <w:tcPr>
            <w:tcW w:w="1173" w:type="dxa"/>
          </w:tcPr>
          <w:p>
            <w:pPr>
              <w:jc w:val="center"/>
              <w:rPr>
                <w:sz w:val="21"/>
                <w:szCs w:val="21"/>
              </w:rPr>
            </w:pPr>
            <w:r>
              <w:rPr>
                <w:rFonts w:hint="eastAsia"/>
                <w:sz w:val="21"/>
                <w:szCs w:val="21"/>
              </w:rPr>
              <w:t>0.6876</w:t>
            </w:r>
          </w:p>
        </w:tc>
        <w:tc>
          <w:tcPr>
            <w:tcW w:w="1173" w:type="dxa"/>
          </w:tcPr>
          <w:p>
            <w:pPr>
              <w:jc w:val="center"/>
              <w:rPr>
                <w:sz w:val="21"/>
                <w:szCs w:val="21"/>
              </w:rPr>
            </w:pPr>
            <w:r>
              <w:rPr>
                <w:rFonts w:hint="eastAsia"/>
                <w:sz w:val="21"/>
                <w:szCs w:val="21"/>
              </w:rPr>
              <w:t>0.9633</w:t>
            </w:r>
          </w:p>
        </w:tc>
        <w:tc>
          <w:tcPr>
            <w:tcW w:w="1173" w:type="dxa"/>
          </w:tcPr>
          <w:p>
            <w:pPr>
              <w:jc w:val="center"/>
              <w:rPr>
                <w:sz w:val="21"/>
                <w:szCs w:val="21"/>
              </w:rPr>
            </w:pPr>
            <w:r>
              <w:rPr>
                <w:rFonts w:hint="eastAsia"/>
                <w:sz w:val="21"/>
                <w:szCs w:val="21"/>
              </w:rPr>
              <w:t>44.02</w:t>
            </w:r>
          </w:p>
        </w:tc>
        <w:tc>
          <w:tcPr>
            <w:tcW w:w="1173" w:type="dxa"/>
          </w:tcPr>
          <w:p>
            <w:pPr>
              <w:jc w:val="center"/>
              <w:rPr>
                <w:sz w:val="21"/>
                <w:szCs w:val="21"/>
              </w:rPr>
            </w:pPr>
            <w:r>
              <w:rPr>
                <w:rFonts w:hint="eastAsia"/>
                <w:sz w:val="21"/>
                <w:szCs w:val="21"/>
              </w:rPr>
              <w:t>37.17</w:t>
            </w:r>
          </w:p>
        </w:tc>
        <w:tc>
          <w:tcPr>
            <w:tcW w:w="1173" w:type="dxa"/>
          </w:tcPr>
          <w:p>
            <w:pPr>
              <w:jc w:val="center"/>
              <w:rPr>
                <w:sz w:val="21"/>
                <w:szCs w:val="21"/>
              </w:rPr>
            </w:pPr>
            <w:r>
              <w:rPr>
                <w:rFonts w:hint="eastAsia"/>
                <w:sz w:val="21"/>
                <w:szCs w:val="21"/>
              </w:rPr>
              <w:t>69.19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9" w:type="dxa"/>
            <w:vMerge w:val="continue"/>
          </w:tcPr>
          <w:p>
            <w:pPr>
              <w:pStyle w:val="2"/>
              <w:jc w:val="center"/>
              <w:rPr>
                <w:sz w:val="21"/>
                <w:szCs w:val="21"/>
              </w:rPr>
            </w:pPr>
          </w:p>
        </w:tc>
        <w:tc>
          <w:tcPr>
            <w:tcW w:w="992" w:type="dxa"/>
          </w:tcPr>
          <w:p>
            <w:pPr>
              <w:pStyle w:val="2"/>
              <w:jc w:val="center"/>
              <w:rPr>
                <w:sz w:val="21"/>
                <w:szCs w:val="21"/>
              </w:rPr>
            </w:pPr>
            <w:r>
              <w:rPr>
                <w:sz w:val="21"/>
                <w:szCs w:val="21"/>
              </w:rPr>
              <w:t>161005</w:t>
            </w:r>
          </w:p>
        </w:tc>
        <w:tc>
          <w:tcPr>
            <w:tcW w:w="1173" w:type="dxa"/>
          </w:tcPr>
          <w:p>
            <w:pPr>
              <w:jc w:val="center"/>
              <w:rPr>
                <w:sz w:val="21"/>
                <w:szCs w:val="21"/>
              </w:rPr>
            </w:pPr>
            <w:r>
              <w:rPr>
                <w:rFonts w:hint="eastAsia"/>
                <w:sz w:val="21"/>
                <w:szCs w:val="21"/>
              </w:rPr>
              <w:t>0.5842</w:t>
            </w:r>
          </w:p>
        </w:tc>
        <w:tc>
          <w:tcPr>
            <w:tcW w:w="1173" w:type="dxa"/>
          </w:tcPr>
          <w:p>
            <w:pPr>
              <w:jc w:val="center"/>
              <w:rPr>
                <w:sz w:val="21"/>
                <w:szCs w:val="21"/>
              </w:rPr>
            </w:pPr>
            <w:r>
              <w:rPr>
                <w:rFonts w:hint="eastAsia"/>
                <w:sz w:val="21"/>
                <w:szCs w:val="21"/>
              </w:rPr>
              <w:t>0.8512</w:t>
            </w:r>
          </w:p>
        </w:tc>
        <w:tc>
          <w:tcPr>
            <w:tcW w:w="1173" w:type="dxa"/>
          </w:tcPr>
          <w:p>
            <w:pPr>
              <w:jc w:val="center"/>
              <w:rPr>
                <w:sz w:val="21"/>
                <w:szCs w:val="21"/>
              </w:rPr>
            </w:pPr>
            <w:r>
              <w:rPr>
                <w:rFonts w:hint="eastAsia"/>
                <w:sz w:val="21"/>
                <w:szCs w:val="21"/>
              </w:rPr>
              <w:t>37.80</w:t>
            </w:r>
          </w:p>
        </w:tc>
        <w:tc>
          <w:tcPr>
            <w:tcW w:w="1173" w:type="dxa"/>
          </w:tcPr>
          <w:p>
            <w:pPr>
              <w:jc w:val="center"/>
              <w:rPr>
                <w:sz w:val="21"/>
                <w:szCs w:val="21"/>
              </w:rPr>
            </w:pPr>
            <w:r>
              <w:rPr>
                <w:rFonts w:hint="eastAsia"/>
                <w:sz w:val="21"/>
                <w:szCs w:val="21"/>
              </w:rPr>
              <w:t>33.47</w:t>
            </w:r>
          </w:p>
        </w:tc>
        <w:tc>
          <w:tcPr>
            <w:tcW w:w="1173" w:type="dxa"/>
          </w:tcPr>
          <w:p>
            <w:pPr>
              <w:jc w:val="center"/>
              <w:rPr>
                <w:sz w:val="21"/>
                <w:szCs w:val="21"/>
              </w:rPr>
            </w:pPr>
            <w:r>
              <w:rPr>
                <w:rFonts w:hint="eastAsia"/>
                <w:sz w:val="21"/>
                <w:szCs w:val="21"/>
              </w:rPr>
              <w:t>60.74</w:t>
            </w:r>
          </w:p>
        </w:tc>
      </w:tr>
    </w:tbl>
    <w:p>
      <w:pPr>
        <w:pStyle w:val="2"/>
        <w:ind w:firstLine="480" w:firstLineChars="200"/>
      </w:pPr>
      <w:r>
        <w:rPr>
          <w:rFonts w:hint="eastAsia"/>
        </w:rPr>
        <w:t>经过工作组讨论，一致认为在原工作组讨论稿中测定汞、砷、铬、铅、镉五项有害元素的基础上，需要增加硒、钡、锑三项检验项目。工作组再次收集了包括原料在内的15个样品由山东省产品质量检验研究院进行测定，实验数据见表7，实验结果表明，样品均符合GB/T 23994-2009中特定有害元素的限量要求。</w:t>
      </w:r>
    </w:p>
    <w:p>
      <w:pPr>
        <w:pStyle w:val="2"/>
        <w:jc w:val="center"/>
        <w:rPr>
          <w:sz w:val="21"/>
          <w:szCs w:val="21"/>
        </w:rPr>
      </w:pPr>
      <w:r>
        <w:rPr>
          <w:rFonts w:hint="eastAsia"/>
          <w:sz w:val="21"/>
          <w:szCs w:val="21"/>
        </w:rPr>
        <w:t>表7 产品中有害元素含量的结果</w:t>
      </w:r>
    </w:p>
    <w:tbl>
      <w:tblPr>
        <w:tblStyle w:val="12"/>
        <w:tblW w:w="10349" w:type="dxa"/>
        <w:tblInd w:w="-8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135"/>
        <w:gridCol w:w="1063"/>
        <w:gridCol w:w="1063"/>
        <w:gridCol w:w="1063"/>
        <w:gridCol w:w="1063"/>
        <w:gridCol w:w="1063"/>
        <w:gridCol w:w="1063"/>
        <w:gridCol w:w="1063"/>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4"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Calibri" w:hAnsi="Calibri"/>
                <w:sz w:val="21"/>
                <w:szCs w:val="21"/>
              </w:rPr>
            </w:pPr>
            <w:r>
              <w:rPr>
                <w:rFonts w:hint="eastAsia" w:ascii="Calibri" w:hAnsi="Calibri"/>
                <w:sz w:val="21"/>
                <w:szCs w:val="21"/>
              </w:rPr>
              <w:t>颜料名称</w:t>
            </w:r>
          </w:p>
        </w:tc>
        <w:tc>
          <w:tcPr>
            <w:tcW w:w="1063" w:type="dxa"/>
            <w:vAlign w:val="center"/>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Calibri" w:hAnsi="Calibri"/>
                <w:sz w:val="21"/>
                <w:szCs w:val="21"/>
              </w:rPr>
            </w:pPr>
            <w:r>
              <w:rPr>
                <w:rFonts w:hint="eastAsia" w:ascii="Calibri" w:hAnsi="Calibri"/>
                <w:sz w:val="21"/>
                <w:szCs w:val="21"/>
              </w:rPr>
              <w:t>砷</w:t>
            </w:r>
          </w:p>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18"/>
                <w:szCs w:val="18"/>
              </w:rPr>
            </w:pPr>
            <w:r>
              <w:rPr>
                <w:rFonts w:hAnsi="Calibri"/>
                <w:sz w:val="18"/>
                <w:szCs w:val="18"/>
              </w:rPr>
              <w:t>（</w:t>
            </w:r>
            <w:r>
              <w:rPr>
                <w:sz w:val="18"/>
                <w:szCs w:val="18"/>
              </w:rPr>
              <w:t>mg/kg</w:t>
            </w:r>
            <w:r>
              <w:rPr>
                <w:rFonts w:hAnsi="Calibri"/>
                <w:sz w:val="18"/>
                <w:szCs w:val="18"/>
              </w:rPr>
              <w:t>）</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Calibri" w:hAnsi="Calibri"/>
              </w:rPr>
            </w:pPr>
            <w:r>
              <w:rPr>
                <w:rFonts w:hint="eastAsia" w:ascii="Calibri" w:hAnsi="Calibri"/>
                <w:sz w:val="21"/>
                <w:szCs w:val="21"/>
              </w:rPr>
              <w:t>汞</w:t>
            </w:r>
            <w:r>
              <w:rPr>
                <w:rFonts w:hAnsi="Calibri"/>
                <w:sz w:val="18"/>
                <w:szCs w:val="18"/>
              </w:rPr>
              <w:t>（</w:t>
            </w:r>
            <w:r>
              <w:rPr>
                <w:sz w:val="18"/>
                <w:szCs w:val="18"/>
              </w:rPr>
              <w:t>mg/kg</w:t>
            </w:r>
            <w:r>
              <w:rPr>
                <w:rFonts w:hAnsi="Calibri"/>
                <w:sz w:val="18"/>
                <w:szCs w:val="18"/>
              </w:rPr>
              <w:t>）</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Calibri" w:hAnsi="Calibri"/>
              </w:rPr>
            </w:pPr>
            <w:r>
              <w:rPr>
                <w:rFonts w:hint="eastAsia" w:ascii="Calibri" w:hAnsi="Calibri"/>
                <w:sz w:val="21"/>
                <w:szCs w:val="21"/>
              </w:rPr>
              <w:t>铬</w:t>
            </w:r>
            <w:r>
              <w:rPr>
                <w:rFonts w:hAnsi="Calibri"/>
                <w:sz w:val="18"/>
                <w:szCs w:val="18"/>
              </w:rPr>
              <w:t>（</w:t>
            </w:r>
            <w:r>
              <w:rPr>
                <w:sz w:val="18"/>
                <w:szCs w:val="18"/>
              </w:rPr>
              <w:t>mg/kg</w:t>
            </w:r>
            <w:r>
              <w:rPr>
                <w:rFonts w:hAnsi="Calibri"/>
                <w:sz w:val="18"/>
                <w:szCs w:val="18"/>
              </w:rPr>
              <w:t>）</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Calibri" w:hAnsi="Calibri"/>
              </w:rPr>
            </w:pPr>
            <w:r>
              <w:rPr>
                <w:rFonts w:hint="eastAsia" w:ascii="Calibri" w:hAnsi="Calibri"/>
                <w:sz w:val="21"/>
                <w:szCs w:val="21"/>
              </w:rPr>
              <w:t>铅</w:t>
            </w:r>
            <w:r>
              <w:rPr>
                <w:rFonts w:hAnsi="Calibri"/>
                <w:sz w:val="18"/>
                <w:szCs w:val="18"/>
              </w:rPr>
              <w:t>（</w:t>
            </w:r>
            <w:r>
              <w:rPr>
                <w:sz w:val="18"/>
                <w:szCs w:val="18"/>
              </w:rPr>
              <w:t>mg/kg</w:t>
            </w:r>
            <w:r>
              <w:rPr>
                <w:rFonts w:hAnsi="Calibri"/>
                <w:sz w:val="18"/>
                <w:szCs w:val="18"/>
              </w:rPr>
              <w:t>）</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Calibri" w:hAnsi="Calibri"/>
              </w:rPr>
            </w:pPr>
            <w:r>
              <w:rPr>
                <w:rFonts w:hint="eastAsia" w:ascii="Calibri" w:hAnsi="Calibri"/>
                <w:sz w:val="21"/>
                <w:szCs w:val="21"/>
              </w:rPr>
              <w:t>镉</w:t>
            </w:r>
            <w:r>
              <w:rPr>
                <w:rFonts w:hAnsi="Calibri"/>
                <w:sz w:val="18"/>
                <w:szCs w:val="18"/>
              </w:rPr>
              <w:t>（</w:t>
            </w:r>
            <w:r>
              <w:rPr>
                <w:sz w:val="18"/>
                <w:szCs w:val="18"/>
              </w:rPr>
              <w:t>mg/kg</w:t>
            </w:r>
            <w:r>
              <w:rPr>
                <w:rFonts w:hAnsi="Calibri"/>
                <w:sz w:val="18"/>
                <w:szCs w:val="18"/>
              </w:rPr>
              <w:t>）</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Calibri" w:hAnsi="Calibri"/>
              </w:rPr>
            </w:pPr>
            <w:r>
              <w:rPr>
                <w:rFonts w:hint="eastAsia" w:ascii="Calibri" w:hAnsi="Calibri"/>
                <w:sz w:val="21"/>
                <w:szCs w:val="21"/>
              </w:rPr>
              <w:t>硒</w:t>
            </w:r>
            <w:r>
              <w:rPr>
                <w:rFonts w:hAnsi="Calibri"/>
                <w:sz w:val="18"/>
                <w:szCs w:val="18"/>
              </w:rPr>
              <w:t>（</w:t>
            </w:r>
            <w:r>
              <w:rPr>
                <w:sz w:val="18"/>
                <w:szCs w:val="18"/>
              </w:rPr>
              <w:t>mg/kg</w:t>
            </w:r>
            <w:r>
              <w:rPr>
                <w:rFonts w:hAnsi="Calibri"/>
                <w:sz w:val="18"/>
                <w:szCs w:val="18"/>
              </w:rPr>
              <w:t>）</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Calibri" w:hAnsi="Calibri"/>
              </w:rPr>
            </w:pPr>
            <w:r>
              <w:rPr>
                <w:rFonts w:hint="eastAsia" w:ascii="Calibri" w:hAnsi="Calibri"/>
                <w:sz w:val="21"/>
                <w:szCs w:val="21"/>
              </w:rPr>
              <w:t>钡</w:t>
            </w:r>
            <w:r>
              <w:rPr>
                <w:rFonts w:hAnsi="Calibri"/>
                <w:sz w:val="18"/>
                <w:szCs w:val="18"/>
              </w:rPr>
              <w:t>（</w:t>
            </w:r>
            <w:r>
              <w:rPr>
                <w:sz w:val="18"/>
                <w:szCs w:val="18"/>
              </w:rPr>
              <w:t>mg/kg</w:t>
            </w:r>
            <w:r>
              <w:rPr>
                <w:rFonts w:hAnsi="Calibri"/>
                <w:sz w:val="18"/>
                <w:szCs w:val="18"/>
              </w:rPr>
              <w:t>）</w:t>
            </w:r>
          </w:p>
        </w:tc>
        <w:tc>
          <w:tcPr>
            <w:tcW w:w="1064"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Calibri" w:hAnsi="Calibri"/>
              </w:rPr>
            </w:pPr>
            <w:r>
              <w:rPr>
                <w:rFonts w:hint="eastAsia" w:ascii="Calibri" w:hAnsi="Calibri"/>
                <w:sz w:val="21"/>
                <w:szCs w:val="21"/>
              </w:rPr>
              <w:t>锑</w:t>
            </w:r>
            <w:r>
              <w:rPr>
                <w:rFonts w:hAnsi="Calibri"/>
                <w:sz w:val="18"/>
                <w:szCs w:val="18"/>
              </w:rPr>
              <w:t>（</w:t>
            </w:r>
            <w:r>
              <w:rPr>
                <w:sz w:val="18"/>
                <w:szCs w:val="18"/>
              </w:rPr>
              <w:t>mg/kg</w:t>
            </w:r>
            <w:r>
              <w:rPr>
                <w:rFonts w:hAnsi="Calibri"/>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4" w:type="dxa"/>
            <w:gridSpan w:val="2"/>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Ansi="Calibri"/>
                <w:sz w:val="21"/>
                <w:szCs w:val="21"/>
              </w:rPr>
              <w:t>高岭土</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0.2660</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0.1086</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2.679</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1.194</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0.206</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sz w:val="21"/>
                <w:szCs w:val="21"/>
              </w:rPr>
              <w:t>0.2357</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11.21</w:t>
            </w:r>
          </w:p>
        </w:tc>
        <w:tc>
          <w:tcPr>
            <w:tcW w:w="1064"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1.550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9"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Calibri" w:hAnsi="Calibri"/>
                <w:sz w:val="21"/>
                <w:szCs w:val="21"/>
              </w:rPr>
            </w:pPr>
            <w:r>
              <w:rPr>
                <w:rFonts w:hint="eastAsia" w:ascii="Calibri" w:hAnsi="Calibri"/>
                <w:sz w:val="21"/>
                <w:szCs w:val="21"/>
              </w:rPr>
              <w:t>凯</w:t>
            </w:r>
          </w:p>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Calibri" w:hAnsi="Calibri"/>
                <w:sz w:val="21"/>
                <w:szCs w:val="21"/>
              </w:rPr>
            </w:pPr>
            <w:r>
              <w:rPr>
                <w:rFonts w:hint="eastAsia" w:ascii="Calibri" w:hAnsi="Calibri"/>
                <w:sz w:val="21"/>
                <w:szCs w:val="21"/>
              </w:rPr>
              <w:t>乐</w:t>
            </w:r>
          </w:p>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Calibri" w:hAnsi="Calibri"/>
                <w:sz w:val="21"/>
                <w:szCs w:val="21"/>
              </w:rPr>
            </w:pPr>
            <w:r>
              <w:rPr>
                <w:rFonts w:hint="eastAsia" w:ascii="Calibri" w:hAnsi="Calibri"/>
                <w:sz w:val="21"/>
                <w:szCs w:val="21"/>
              </w:rPr>
              <w:t>福</w:t>
            </w:r>
          </w:p>
        </w:tc>
        <w:tc>
          <w:tcPr>
            <w:tcW w:w="1135"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sz w:val="21"/>
                <w:szCs w:val="21"/>
              </w:rPr>
              <w:t>462A</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0.1654</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0.0959</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24.78</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49.38</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1.732</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0.2624</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37.76</w:t>
            </w:r>
          </w:p>
        </w:tc>
        <w:tc>
          <w:tcPr>
            <w:tcW w:w="1064"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17.43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9" w:type="dxa"/>
            <w:vMerge w:val="continue"/>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Calibri" w:hAnsi="Calibri"/>
                <w:sz w:val="21"/>
                <w:szCs w:val="21"/>
              </w:rPr>
            </w:pPr>
          </w:p>
        </w:tc>
        <w:tc>
          <w:tcPr>
            <w:tcW w:w="1135"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sz w:val="21"/>
                <w:szCs w:val="21"/>
              </w:rPr>
              <w:t>463</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0.1984</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0.0934</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26.04</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61.76</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2.112</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0.2666</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60.58</w:t>
            </w:r>
          </w:p>
        </w:tc>
        <w:tc>
          <w:tcPr>
            <w:tcW w:w="1064"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23.90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9" w:type="dxa"/>
            <w:vMerge w:val="continue"/>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Calibri" w:hAnsi="Calibri"/>
                <w:sz w:val="21"/>
                <w:szCs w:val="21"/>
              </w:rPr>
            </w:pPr>
          </w:p>
        </w:tc>
        <w:tc>
          <w:tcPr>
            <w:tcW w:w="1135"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sz w:val="21"/>
                <w:szCs w:val="21"/>
              </w:rPr>
              <w:t>465A</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0.2680</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0.0952</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30.29</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58.04</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2.054</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0.2526</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102.2</w:t>
            </w:r>
          </w:p>
        </w:tc>
        <w:tc>
          <w:tcPr>
            <w:tcW w:w="1064"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26.50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9" w:type="dxa"/>
            <w:vMerge w:val="continue"/>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Calibri" w:hAnsi="Calibri"/>
                <w:sz w:val="21"/>
                <w:szCs w:val="21"/>
              </w:rPr>
            </w:pPr>
          </w:p>
        </w:tc>
        <w:tc>
          <w:tcPr>
            <w:tcW w:w="1135"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sz w:val="21"/>
                <w:szCs w:val="21"/>
              </w:rPr>
              <w:t>462</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0.2392</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0.1384</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25.49</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60.81</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1.796</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0.2560</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49.82</w:t>
            </w:r>
          </w:p>
        </w:tc>
        <w:tc>
          <w:tcPr>
            <w:tcW w:w="1064"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23.55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9"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Calibri" w:hAnsi="Calibri"/>
                <w:sz w:val="21"/>
                <w:szCs w:val="21"/>
              </w:rPr>
            </w:pPr>
            <w:r>
              <w:rPr>
                <w:rFonts w:hint="eastAsia" w:ascii="Calibri" w:hAnsi="Calibri"/>
                <w:sz w:val="21"/>
                <w:szCs w:val="21"/>
              </w:rPr>
              <w:t>纽</w:t>
            </w:r>
          </w:p>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Calibri" w:hAnsi="Calibri"/>
                <w:sz w:val="21"/>
                <w:szCs w:val="21"/>
              </w:rPr>
            </w:pPr>
            <w:r>
              <w:rPr>
                <w:rFonts w:hint="eastAsia" w:ascii="Calibri" w:hAnsi="Calibri"/>
                <w:sz w:val="21"/>
                <w:szCs w:val="21"/>
              </w:rPr>
              <w:t>碧</w:t>
            </w:r>
          </w:p>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Calibri" w:hAnsi="Calibri"/>
                <w:sz w:val="21"/>
                <w:szCs w:val="21"/>
              </w:rPr>
            </w:pPr>
            <w:r>
              <w:rPr>
                <w:rFonts w:hint="eastAsia" w:ascii="Calibri" w:hAnsi="Calibri"/>
                <w:sz w:val="21"/>
                <w:szCs w:val="21"/>
              </w:rPr>
              <w:t>莱</w:t>
            </w:r>
          </w:p>
        </w:tc>
        <w:tc>
          <w:tcPr>
            <w:tcW w:w="1135"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Ansi="Calibri"/>
                <w:sz w:val="21"/>
                <w:szCs w:val="21"/>
              </w:rPr>
              <w:t>粉红</w:t>
            </w:r>
            <w:r>
              <w:rPr>
                <w:sz w:val="21"/>
                <w:szCs w:val="21"/>
              </w:rPr>
              <w:t>90C</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0.2414</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0.0826</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23.50</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40.15</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1.590</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0.2164</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73.36</w:t>
            </w:r>
          </w:p>
        </w:tc>
        <w:tc>
          <w:tcPr>
            <w:tcW w:w="1064"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24.20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9" w:type="dxa"/>
            <w:vMerge w:val="continue"/>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Calibri" w:hAnsi="Calibri"/>
                <w:sz w:val="21"/>
                <w:szCs w:val="21"/>
              </w:rPr>
            </w:pPr>
          </w:p>
        </w:tc>
        <w:tc>
          <w:tcPr>
            <w:tcW w:w="1135"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sz w:val="21"/>
                <w:szCs w:val="21"/>
              </w:rPr>
              <w:t>GP-58</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0.1828</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0.0822</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32.54</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51.66</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2.292</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0.2064</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42.18</w:t>
            </w:r>
          </w:p>
        </w:tc>
        <w:tc>
          <w:tcPr>
            <w:tcW w:w="1064"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33.39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9" w:type="dxa"/>
            <w:vMerge w:val="continue"/>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Calibri" w:hAnsi="Calibri"/>
                <w:sz w:val="21"/>
                <w:szCs w:val="21"/>
              </w:rPr>
            </w:pPr>
          </w:p>
        </w:tc>
        <w:tc>
          <w:tcPr>
            <w:tcW w:w="1135"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sz w:val="21"/>
                <w:szCs w:val="21"/>
              </w:rPr>
              <w:t>EP-19</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0.2418</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0.0793</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31.78</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44.22</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2.010</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0.2774</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111.1</w:t>
            </w:r>
          </w:p>
        </w:tc>
        <w:tc>
          <w:tcPr>
            <w:tcW w:w="1064"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28.79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9" w:type="dxa"/>
            <w:vMerge w:val="continue"/>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Calibri" w:hAnsi="Calibri"/>
                <w:sz w:val="21"/>
                <w:szCs w:val="21"/>
              </w:rPr>
            </w:pPr>
          </w:p>
        </w:tc>
        <w:tc>
          <w:tcPr>
            <w:tcW w:w="1135"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Ansi="Calibri"/>
                <w:sz w:val="21"/>
                <w:szCs w:val="21"/>
              </w:rPr>
              <w:t>群紫</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0.2576</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0.1166</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37.04</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47.28</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2.227</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0.1738</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123.0</w:t>
            </w:r>
          </w:p>
        </w:tc>
        <w:tc>
          <w:tcPr>
            <w:tcW w:w="1064"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30.94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9"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Calibri" w:hAnsi="Calibri"/>
                <w:sz w:val="21"/>
                <w:szCs w:val="21"/>
              </w:rPr>
            </w:pPr>
            <w:r>
              <w:rPr>
                <w:rFonts w:hint="eastAsia" w:ascii="Calibri" w:hAnsi="Calibri"/>
                <w:sz w:val="21"/>
                <w:szCs w:val="21"/>
              </w:rPr>
              <w:t>好</w:t>
            </w:r>
          </w:p>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Calibri" w:hAnsi="Calibri"/>
                <w:sz w:val="21"/>
                <w:szCs w:val="21"/>
              </w:rPr>
            </w:pPr>
            <w:r>
              <w:rPr>
                <w:rFonts w:hint="eastAsia" w:ascii="Calibri" w:hAnsi="Calibri"/>
                <w:sz w:val="21"/>
                <w:szCs w:val="21"/>
              </w:rPr>
              <w:t>利</w:t>
            </w:r>
          </w:p>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Calibri" w:hAnsi="Calibri"/>
                <w:sz w:val="21"/>
                <w:szCs w:val="21"/>
              </w:rPr>
            </w:pPr>
            <w:r>
              <w:rPr>
                <w:rFonts w:hint="eastAsia" w:ascii="Calibri" w:hAnsi="Calibri"/>
                <w:sz w:val="21"/>
                <w:szCs w:val="21"/>
              </w:rPr>
              <w:t>德</w:t>
            </w:r>
          </w:p>
        </w:tc>
        <w:tc>
          <w:tcPr>
            <w:tcW w:w="1135"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sz w:val="21"/>
                <w:szCs w:val="21"/>
              </w:rPr>
              <w:t>5008</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0.1820</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0.2406</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24.74</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25.93</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1.512</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0.2906</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55.17</w:t>
            </w:r>
          </w:p>
        </w:tc>
        <w:tc>
          <w:tcPr>
            <w:tcW w:w="1064"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25.64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9" w:type="dxa"/>
            <w:vMerge w:val="continue"/>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Calibri" w:hAnsi="Calibri"/>
                <w:sz w:val="21"/>
                <w:szCs w:val="21"/>
              </w:rPr>
            </w:pPr>
          </w:p>
        </w:tc>
        <w:tc>
          <w:tcPr>
            <w:tcW w:w="1135"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sz w:val="21"/>
                <w:szCs w:val="21"/>
              </w:rPr>
              <w:t>5002</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0.2030</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0.0884</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30.88</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41.48</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2.172</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0.2860</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103.8</w:t>
            </w:r>
          </w:p>
        </w:tc>
        <w:tc>
          <w:tcPr>
            <w:tcW w:w="1064"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25.92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9" w:type="dxa"/>
            <w:vMerge w:val="continue"/>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Calibri" w:hAnsi="Calibri"/>
                <w:sz w:val="21"/>
                <w:szCs w:val="21"/>
              </w:rPr>
            </w:pPr>
          </w:p>
        </w:tc>
        <w:tc>
          <w:tcPr>
            <w:tcW w:w="1135"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sz w:val="21"/>
                <w:szCs w:val="21"/>
              </w:rPr>
              <w:t>5005</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0.1438</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0.0822</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26.25</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37.96</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2.140</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0.3014</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98.86</w:t>
            </w:r>
          </w:p>
        </w:tc>
        <w:tc>
          <w:tcPr>
            <w:tcW w:w="1064"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24.77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9"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Calibri" w:hAnsi="Calibri"/>
                <w:sz w:val="21"/>
                <w:szCs w:val="21"/>
              </w:rPr>
            </w:pPr>
            <w:r>
              <w:rPr>
                <w:rFonts w:hint="eastAsia" w:ascii="Calibri" w:hAnsi="Calibri"/>
                <w:sz w:val="21"/>
                <w:szCs w:val="21"/>
              </w:rPr>
              <w:t>仁</w:t>
            </w:r>
          </w:p>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Calibri" w:hAnsi="Calibri"/>
                <w:sz w:val="21"/>
                <w:szCs w:val="21"/>
              </w:rPr>
            </w:pPr>
            <w:r>
              <w:rPr>
                <w:rFonts w:hint="eastAsia" w:ascii="Calibri" w:hAnsi="Calibri"/>
                <w:sz w:val="21"/>
                <w:szCs w:val="21"/>
              </w:rPr>
              <w:t>和</w:t>
            </w:r>
          </w:p>
        </w:tc>
        <w:tc>
          <w:tcPr>
            <w:tcW w:w="1135"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sz w:val="21"/>
                <w:szCs w:val="21"/>
              </w:rPr>
              <w:t>462</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0.1901</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0.1125</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22.64</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57.38</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3.686</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0.2570</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35.72</w:t>
            </w:r>
          </w:p>
        </w:tc>
        <w:tc>
          <w:tcPr>
            <w:tcW w:w="1064"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11.70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9" w:type="dxa"/>
            <w:vMerge w:val="continue"/>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Calibri" w:hAnsi="Calibri"/>
                <w:sz w:val="21"/>
                <w:szCs w:val="21"/>
              </w:rPr>
            </w:pPr>
          </w:p>
        </w:tc>
        <w:tc>
          <w:tcPr>
            <w:tcW w:w="1135"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sz w:val="21"/>
                <w:szCs w:val="21"/>
              </w:rPr>
              <w:t>472</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0.1764</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0.0880</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31.35</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63.81</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2.415</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0.2034</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84.80</w:t>
            </w:r>
          </w:p>
        </w:tc>
        <w:tc>
          <w:tcPr>
            <w:tcW w:w="1064"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23.07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9" w:type="dxa"/>
            <w:vMerge w:val="continue"/>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Calibri" w:hAnsi="Calibri"/>
                <w:sz w:val="21"/>
                <w:szCs w:val="21"/>
              </w:rPr>
            </w:pPr>
          </w:p>
        </w:tc>
        <w:tc>
          <w:tcPr>
            <w:tcW w:w="1135"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sz w:val="21"/>
                <w:szCs w:val="21"/>
              </w:rPr>
              <w:t>RH464</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0.1958</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0.0640</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31.46</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67.18</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2.336</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0.2573</w:t>
            </w:r>
          </w:p>
        </w:tc>
        <w:tc>
          <w:tcPr>
            <w:tcW w:w="1063"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73.64</w:t>
            </w:r>
          </w:p>
        </w:tc>
        <w:tc>
          <w:tcPr>
            <w:tcW w:w="1064" w:type="dxa"/>
          </w:tcPr>
          <w:p>
            <w:pPr>
              <w:pStyle w:val="2"/>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sz w:val="21"/>
                <w:szCs w:val="21"/>
              </w:rPr>
            </w:pPr>
            <w:r>
              <w:rPr>
                <w:rFonts w:hint="eastAsia"/>
                <w:sz w:val="21"/>
                <w:szCs w:val="21"/>
              </w:rPr>
              <w:t>21.26</w:t>
            </w:r>
          </w:p>
        </w:tc>
      </w:tr>
    </w:tbl>
    <w:p>
      <w:pPr>
        <w:pStyle w:val="2"/>
        <w:ind w:firstLine="480" w:firstLineChars="200"/>
      </w:pPr>
      <w:r>
        <w:rPr>
          <w:rFonts w:hint="eastAsia"/>
          <w:lang w:val="en-US" w:eastAsia="zh-CN"/>
        </w:rPr>
        <w:t xml:space="preserve"> </w:t>
      </w:r>
    </w:p>
    <w:p>
      <w:pPr>
        <w:pStyle w:val="2"/>
        <w:rPr>
          <w:rFonts w:hint="eastAsia" w:ascii="宋体" w:hAnsi="宋体" w:eastAsia="宋体" w:cs="宋体"/>
          <w:b/>
          <w:bCs/>
          <w:sz w:val="28"/>
          <w:szCs w:val="28"/>
        </w:rPr>
      </w:pPr>
      <w:r>
        <w:rPr>
          <w:rFonts w:hint="eastAsia" w:ascii="宋体" w:hAnsi="宋体" w:eastAsia="宋体" w:cs="宋体"/>
          <w:b/>
          <w:bCs/>
          <w:sz w:val="28"/>
          <w:szCs w:val="28"/>
        </w:rPr>
        <w:t>3.2 预期达到的经济效果</w:t>
      </w:r>
    </w:p>
    <w:p>
      <w:pPr>
        <w:pStyle w:val="2"/>
        <w:ind w:firstLine="480"/>
        <w:jc w:val="left"/>
      </w:pPr>
      <w:r>
        <w:rPr>
          <w:rFonts w:hint="eastAsia"/>
        </w:rPr>
        <w:t>该标准的实施，将填补我国群青颜料无统一国家标准的空白，对于规范群青市场秩序，提高群青产品质量，缩小与欧美市场的差距，提高民族企业在国际市场的竞争力具有十分重要的意义。</w:t>
      </w:r>
    </w:p>
    <w:p>
      <w:pPr>
        <w:pStyle w:val="3"/>
      </w:pPr>
      <w:r>
        <w:t>4</w:t>
      </w:r>
      <w:r>
        <w:rPr>
          <w:rFonts w:hint="eastAsia"/>
        </w:rPr>
        <w:t>国际标准和国外先进标准的采用和对比情况</w:t>
      </w:r>
    </w:p>
    <w:p>
      <w:pPr>
        <w:ind w:firstLine="482"/>
      </w:pPr>
      <w:r>
        <w:rPr>
          <w:rFonts w:hint="eastAsia"/>
        </w:rPr>
        <w:t>本标准在编写过程中参考了国际标准</w:t>
      </w:r>
      <w:r>
        <w:t>ISO 788:1974</w:t>
      </w:r>
      <w:r>
        <w:rPr>
          <w:rFonts w:hint="eastAsia"/>
        </w:rPr>
        <w:t>《色漆用群青颜料》的实验指标，其检测项目在参考国际标准ISO 788:1974的基础上，又增加了若干检测项目，其检验方法均采用了现行国家标准。</w:t>
      </w:r>
    </w:p>
    <w:p>
      <w:pPr>
        <w:ind w:firstLine="482"/>
      </w:pPr>
      <w:r>
        <w:rPr>
          <w:rFonts w:hint="eastAsia"/>
        </w:rPr>
        <w:t>本标准与ISO 788:1974相比，在检验项目方面的主要差异如表9所示。</w:t>
      </w:r>
    </w:p>
    <w:p>
      <w:pPr>
        <w:pStyle w:val="2"/>
        <w:jc w:val="center"/>
        <w:rPr>
          <w:sz w:val="21"/>
          <w:szCs w:val="21"/>
        </w:rPr>
      </w:pPr>
      <w:r>
        <w:rPr>
          <w:rFonts w:hint="eastAsia"/>
          <w:sz w:val="21"/>
          <w:szCs w:val="21"/>
        </w:rPr>
        <w:t>表9 本标准与国际标准检验项目的对比</w:t>
      </w:r>
    </w:p>
    <w:tbl>
      <w:tblPr>
        <w:tblStyle w:val="12"/>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1"/>
        <w:gridCol w:w="4074"/>
        <w:gridCol w:w="3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6" w:hRule="atLeast"/>
        </w:trPr>
        <w:tc>
          <w:tcPr>
            <w:tcW w:w="1421" w:type="dxa"/>
          </w:tcPr>
          <w:p>
            <w:pPr>
              <w:pStyle w:val="2"/>
              <w:spacing w:line="240" w:lineRule="auto"/>
              <w:jc w:val="center"/>
              <w:rPr>
                <w:rFonts w:ascii="Calibri" w:hAnsi="Calibri"/>
                <w:sz w:val="21"/>
                <w:szCs w:val="21"/>
              </w:rPr>
            </w:pPr>
            <w:r>
              <w:rPr>
                <w:rFonts w:hint="eastAsia" w:ascii="Calibri" w:hAnsi="Calibri"/>
                <w:sz w:val="21"/>
                <w:szCs w:val="21"/>
              </w:rPr>
              <w:t>标准类型</w:t>
            </w:r>
          </w:p>
        </w:tc>
        <w:tc>
          <w:tcPr>
            <w:tcW w:w="4074" w:type="dxa"/>
          </w:tcPr>
          <w:p>
            <w:pPr>
              <w:pStyle w:val="2"/>
              <w:spacing w:line="240" w:lineRule="auto"/>
              <w:jc w:val="center"/>
              <w:rPr>
                <w:rFonts w:ascii="Calibri" w:hAnsi="Calibri"/>
                <w:sz w:val="21"/>
                <w:szCs w:val="21"/>
              </w:rPr>
            </w:pPr>
            <w:r>
              <w:rPr>
                <w:rFonts w:hint="eastAsia" w:ascii="Calibri" w:hAnsi="Calibri"/>
                <w:sz w:val="21"/>
                <w:szCs w:val="21"/>
              </w:rPr>
              <w:t>本标准</w:t>
            </w:r>
          </w:p>
        </w:tc>
        <w:tc>
          <w:tcPr>
            <w:tcW w:w="3253" w:type="dxa"/>
          </w:tcPr>
          <w:p>
            <w:pPr>
              <w:pStyle w:val="2"/>
              <w:spacing w:line="240" w:lineRule="auto"/>
              <w:jc w:val="center"/>
              <w:rPr>
                <w:sz w:val="21"/>
                <w:szCs w:val="21"/>
              </w:rPr>
            </w:pPr>
            <w:r>
              <w:rPr>
                <w:sz w:val="21"/>
                <w:szCs w:val="21"/>
              </w:rPr>
              <w:t>ISO 788:1974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60" w:hRule="atLeast"/>
        </w:trPr>
        <w:tc>
          <w:tcPr>
            <w:tcW w:w="1421" w:type="dxa"/>
            <w:vAlign w:val="center"/>
          </w:tcPr>
          <w:p>
            <w:pPr>
              <w:pStyle w:val="2"/>
              <w:spacing w:line="240" w:lineRule="auto"/>
              <w:jc w:val="center"/>
              <w:rPr>
                <w:rFonts w:ascii="Calibri" w:hAnsi="Calibri"/>
                <w:sz w:val="21"/>
                <w:szCs w:val="21"/>
              </w:rPr>
            </w:pPr>
            <w:r>
              <w:rPr>
                <w:rFonts w:hint="eastAsia" w:ascii="Calibri" w:hAnsi="Calibri"/>
                <w:sz w:val="21"/>
                <w:szCs w:val="21"/>
              </w:rPr>
              <w:t>检验项目</w:t>
            </w:r>
          </w:p>
        </w:tc>
        <w:tc>
          <w:tcPr>
            <w:tcW w:w="4074" w:type="dxa"/>
            <w:vAlign w:val="center"/>
          </w:tcPr>
          <w:p>
            <w:pPr>
              <w:pStyle w:val="2"/>
              <w:spacing w:line="240" w:lineRule="auto"/>
              <w:jc w:val="left"/>
              <w:rPr>
                <w:rFonts w:ascii="Calibri" w:hAnsi="Calibri"/>
                <w:sz w:val="21"/>
                <w:szCs w:val="21"/>
              </w:rPr>
            </w:pPr>
            <w:r>
              <w:rPr>
                <w:rFonts w:hint="eastAsia" w:hAnsi="Calibri"/>
                <w:sz w:val="21"/>
                <w:szCs w:val="21"/>
              </w:rPr>
              <w:t>颜色（与参比样比）、</w:t>
            </w:r>
            <w:r>
              <w:rPr>
                <w:rFonts w:hint="eastAsia" w:hAnsi="Calibri"/>
                <w:color w:val="000000"/>
                <w:sz w:val="21"/>
                <w:szCs w:val="21"/>
              </w:rPr>
              <w:t>相对</w:t>
            </w:r>
            <w:r>
              <w:rPr>
                <w:rFonts w:hAnsi="Calibri"/>
                <w:color w:val="000000"/>
                <w:sz w:val="21"/>
                <w:szCs w:val="21"/>
              </w:rPr>
              <w:t>着色力</w:t>
            </w:r>
            <w:r>
              <w:rPr>
                <w:rFonts w:hint="eastAsia" w:hAnsi="Calibri"/>
                <w:color w:val="000000"/>
                <w:sz w:val="21"/>
                <w:szCs w:val="21"/>
              </w:rPr>
              <w:t>、</w:t>
            </w:r>
            <w:r>
              <w:rPr>
                <w:rFonts w:hAnsi="Calibri"/>
                <w:color w:val="000000"/>
                <w:sz w:val="21"/>
                <w:szCs w:val="21"/>
              </w:rPr>
              <w:t>水溶物</w:t>
            </w:r>
            <w:r>
              <w:rPr>
                <w:rFonts w:hint="eastAsia" w:hAnsi="Calibri"/>
                <w:color w:val="000000"/>
                <w:sz w:val="21"/>
                <w:szCs w:val="21"/>
              </w:rPr>
              <w:t>的质量分数、</w:t>
            </w:r>
            <w:r>
              <w:rPr>
                <w:rFonts w:hAnsi="Calibri"/>
                <w:color w:val="000000"/>
                <w:sz w:val="21"/>
                <w:szCs w:val="21"/>
              </w:rPr>
              <w:t>游离硫</w:t>
            </w:r>
            <w:r>
              <w:rPr>
                <w:rFonts w:hint="eastAsia" w:hAnsi="Calibri"/>
                <w:color w:val="000000"/>
                <w:sz w:val="21"/>
                <w:szCs w:val="21"/>
              </w:rPr>
              <w:t xml:space="preserve">的质量分数、105℃挥发物的质量分数、筛余物（45 </w:t>
            </w:r>
            <w:r>
              <w:rPr>
                <w:rFonts w:hAnsi="Calibri"/>
                <w:color w:val="000000"/>
                <w:sz w:val="21"/>
                <w:szCs w:val="21"/>
              </w:rPr>
              <w:t>μm</w:t>
            </w:r>
            <w:r>
              <w:rPr>
                <w:rFonts w:hint="eastAsia" w:hAnsi="Calibri"/>
                <w:color w:val="000000"/>
                <w:sz w:val="21"/>
                <w:szCs w:val="21"/>
              </w:rPr>
              <w:t>孔径）的质量分数、有害元素含量、</w:t>
            </w:r>
            <w:r>
              <w:rPr>
                <w:rFonts w:ascii="Calibri" w:hAnsi="Calibri"/>
                <w:sz w:val="21"/>
                <w:szCs w:val="21"/>
              </w:rPr>
              <w:t>pH</w:t>
            </w:r>
            <w:r>
              <w:rPr>
                <w:rFonts w:hint="eastAsia" w:ascii="宋体" w:hAnsi="Calibri"/>
                <w:sz w:val="21"/>
                <w:szCs w:val="21"/>
              </w:rPr>
              <w:t>值、可溶性有机着色物、吸油量、耐光性、耐热性、迁移性</w:t>
            </w:r>
          </w:p>
        </w:tc>
        <w:tc>
          <w:tcPr>
            <w:tcW w:w="3253" w:type="dxa"/>
            <w:vAlign w:val="center"/>
          </w:tcPr>
          <w:p>
            <w:pPr>
              <w:pStyle w:val="2"/>
              <w:spacing w:line="240" w:lineRule="auto"/>
              <w:jc w:val="left"/>
              <w:rPr>
                <w:rFonts w:ascii="Calibri" w:hAnsi="Calibri"/>
                <w:sz w:val="21"/>
                <w:szCs w:val="21"/>
              </w:rPr>
            </w:pPr>
            <w:r>
              <w:rPr>
                <w:rFonts w:hint="eastAsia" w:ascii="Calibri" w:hAnsi="Calibri"/>
                <w:sz w:val="21"/>
                <w:szCs w:val="21"/>
              </w:rPr>
              <w:t xml:space="preserve">相对密度、颜色、相对着色力、105℃挥发物的质量分数、水溶物的质量分数、筛余物（63 </w:t>
            </w:r>
            <w:r>
              <w:rPr>
                <w:rFonts w:ascii="Calibri" w:hAnsi="Calibri"/>
                <w:sz w:val="21"/>
                <w:szCs w:val="21"/>
              </w:rPr>
              <w:t>μm</w:t>
            </w:r>
            <w:r>
              <w:rPr>
                <w:rFonts w:hint="eastAsia" w:ascii="Calibri" w:hAnsi="Calibri"/>
                <w:sz w:val="21"/>
                <w:szCs w:val="21"/>
              </w:rPr>
              <w:t>孔径）的质量分数、可溶性有机着色物、游离硫、吸油量</w:t>
            </w:r>
          </w:p>
        </w:tc>
      </w:tr>
    </w:tbl>
    <w:p>
      <w:pPr>
        <w:pStyle w:val="2"/>
        <w:ind w:firstLine="480"/>
      </w:pPr>
      <w:r>
        <w:rPr>
          <w:rFonts w:hint="eastAsia"/>
        </w:rPr>
        <w:t>从表9可以看出，ISO 788:1974共包含了9个检验项目，根据我国实际情况，制定适合我国国情的国家标准和技术指标，提高群青的行业竞争力，因此本标准共设置了14个检验项目，优于国际标准ISO 788:1974的检验项目。</w:t>
      </w:r>
    </w:p>
    <w:p>
      <w:pPr>
        <w:pStyle w:val="2"/>
        <w:ind w:firstLine="480"/>
      </w:pPr>
      <w:r>
        <w:rPr>
          <w:rFonts w:hint="eastAsia"/>
        </w:rPr>
        <w:t>本标准与ISO 788:1974相比，在实验指标方面的主要差异如表10所示。</w:t>
      </w:r>
    </w:p>
    <w:p>
      <w:pPr>
        <w:pStyle w:val="2"/>
        <w:ind w:firstLine="480"/>
        <w:jc w:val="center"/>
        <w:rPr>
          <w:sz w:val="21"/>
          <w:szCs w:val="21"/>
        </w:rPr>
      </w:pPr>
      <w:r>
        <w:rPr>
          <w:rFonts w:hint="eastAsia"/>
          <w:sz w:val="21"/>
          <w:szCs w:val="21"/>
        </w:rPr>
        <w:t>表10 本标准与国际标准实验指标的对比</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85"/>
        <w:gridCol w:w="2718"/>
        <w:gridCol w:w="27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85" w:type="dxa"/>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ascii="Calibri" w:hAnsi="Calibri"/>
                <w:sz w:val="21"/>
                <w:szCs w:val="21"/>
              </w:rPr>
            </w:pPr>
            <w:bookmarkStart w:id="6" w:name="_GoBack"/>
            <w:r>
              <w:rPr>
                <w:rFonts w:hint="eastAsia" w:ascii="Calibri" w:hAnsi="Calibri"/>
                <w:sz w:val="21"/>
                <w:szCs w:val="21"/>
              </w:rPr>
              <w:t>检验项目</w:t>
            </w:r>
          </w:p>
        </w:tc>
        <w:tc>
          <w:tcPr>
            <w:tcW w:w="2718" w:type="dxa"/>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ascii="Calibri" w:hAnsi="Calibri"/>
                <w:sz w:val="21"/>
                <w:szCs w:val="21"/>
              </w:rPr>
            </w:pPr>
            <w:r>
              <w:rPr>
                <w:rFonts w:hint="eastAsia" w:ascii="Calibri" w:hAnsi="Calibri"/>
                <w:sz w:val="21"/>
                <w:szCs w:val="21"/>
              </w:rPr>
              <w:t>本标准</w:t>
            </w:r>
          </w:p>
        </w:tc>
        <w:tc>
          <w:tcPr>
            <w:tcW w:w="2719" w:type="dxa"/>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sz w:val="21"/>
                <w:szCs w:val="21"/>
              </w:rPr>
            </w:pPr>
            <w:r>
              <w:rPr>
                <w:sz w:val="21"/>
                <w:szCs w:val="21"/>
              </w:rPr>
              <w:t>ISO 788:1974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85" w:type="dxa"/>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ascii="Calibri" w:hAnsi="Calibri"/>
                <w:sz w:val="21"/>
                <w:szCs w:val="21"/>
              </w:rPr>
            </w:pPr>
            <w:r>
              <w:rPr>
                <w:rFonts w:hint="eastAsia" w:ascii="Calibri" w:hAnsi="Calibri"/>
                <w:sz w:val="21"/>
                <w:szCs w:val="21"/>
              </w:rPr>
              <w:t>相对着色力</w:t>
            </w:r>
          </w:p>
        </w:tc>
        <w:tc>
          <w:tcPr>
            <w:tcW w:w="2718" w:type="dxa"/>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sz w:val="21"/>
                <w:szCs w:val="21"/>
              </w:rPr>
            </w:pPr>
            <w:r>
              <w:rPr>
                <w:sz w:val="21"/>
                <w:szCs w:val="21"/>
              </w:rPr>
              <w:t>100±5</w:t>
            </w:r>
          </w:p>
        </w:tc>
        <w:tc>
          <w:tcPr>
            <w:tcW w:w="2719" w:type="dxa"/>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ascii="Calibri" w:hAnsi="Calibri"/>
                <w:sz w:val="21"/>
                <w:szCs w:val="21"/>
              </w:rPr>
            </w:pPr>
            <w:r>
              <w:rPr>
                <w:rFonts w:hint="eastAsia" w:ascii="Calibri" w:hAnsi="Calibri"/>
                <w:sz w:val="21"/>
                <w:szCs w:val="21"/>
              </w:rPr>
              <w:t>商定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85" w:type="dxa"/>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ascii="Calibri" w:hAnsi="Calibri"/>
                <w:sz w:val="21"/>
                <w:szCs w:val="21"/>
              </w:rPr>
            </w:pPr>
            <w:r>
              <w:rPr>
                <w:rFonts w:hint="eastAsia" w:ascii="Calibri" w:hAnsi="Calibri"/>
                <w:sz w:val="21"/>
                <w:szCs w:val="21"/>
              </w:rPr>
              <w:t>105℃挥发物的质量分数</w:t>
            </w:r>
            <w:r>
              <w:rPr>
                <w:sz w:val="21"/>
                <w:szCs w:val="21"/>
              </w:rPr>
              <w:t>/%</w:t>
            </w:r>
          </w:p>
        </w:tc>
        <w:tc>
          <w:tcPr>
            <w:tcW w:w="2718" w:type="dxa"/>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ascii="Calibri" w:hAnsi="Calibri"/>
                <w:sz w:val="21"/>
                <w:szCs w:val="21"/>
              </w:rPr>
            </w:pPr>
            <w:r>
              <w:rPr>
                <w:rFonts w:hint="eastAsia"/>
                <w:sz w:val="21"/>
                <w:szCs w:val="21"/>
              </w:rPr>
              <w:t>≤1.0</w:t>
            </w:r>
          </w:p>
        </w:tc>
        <w:tc>
          <w:tcPr>
            <w:tcW w:w="2719" w:type="dxa"/>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ascii="Calibri" w:hAnsi="Calibri"/>
                <w:sz w:val="21"/>
                <w:szCs w:val="21"/>
              </w:rPr>
            </w:pPr>
            <w:r>
              <w:rPr>
                <w:rFonts w:hint="eastAsia"/>
                <w:sz w:val="2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6" w:hRule="atLeast"/>
        </w:trPr>
        <w:tc>
          <w:tcPr>
            <w:tcW w:w="3085" w:type="dxa"/>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ascii="Calibri" w:hAnsi="Calibri"/>
                <w:sz w:val="21"/>
                <w:szCs w:val="21"/>
              </w:rPr>
            </w:pPr>
            <w:r>
              <w:rPr>
                <w:rFonts w:hint="eastAsia" w:ascii="Calibri" w:hAnsi="Calibri"/>
                <w:sz w:val="21"/>
                <w:szCs w:val="21"/>
              </w:rPr>
              <w:t>水溶物的质量分数</w:t>
            </w:r>
            <w:r>
              <w:rPr>
                <w:sz w:val="21"/>
                <w:szCs w:val="21"/>
              </w:rPr>
              <w:t>/%</w:t>
            </w:r>
          </w:p>
        </w:tc>
        <w:tc>
          <w:tcPr>
            <w:tcW w:w="2718" w:type="dxa"/>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color w:val="auto"/>
                <w:sz w:val="21"/>
                <w:szCs w:val="21"/>
                <w:lang w:eastAsia="zh-CN"/>
              </w:rPr>
            </w:pPr>
            <w:bookmarkStart w:id="4" w:name="OLE_LINK8"/>
            <w:r>
              <w:rPr>
                <w:rFonts w:hint="eastAsia"/>
                <w:color w:val="auto"/>
                <w:sz w:val="21"/>
                <w:szCs w:val="21"/>
                <w:lang w:val="en-US" w:eastAsia="zh-CN"/>
              </w:rPr>
              <w:t>A型（用于塑料、橡胶等领域）</w:t>
            </w:r>
            <w:bookmarkEnd w:id="4"/>
            <w:r>
              <w:rPr>
                <w:rFonts w:hint="eastAsia"/>
                <w:color w:val="auto"/>
                <w:sz w:val="21"/>
                <w:szCs w:val="21"/>
              </w:rPr>
              <w:t>:≤1.0</w:t>
            </w:r>
            <w:r>
              <w:rPr>
                <w:rFonts w:hint="eastAsia"/>
                <w:color w:val="auto"/>
                <w:sz w:val="21"/>
                <w:szCs w:val="21"/>
                <w:lang w:eastAsia="zh-CN"/>
              </w:rPr>
              <w:t>；</w:t>
            </w:r>
          </w:p>
          <w:p>
            <w:pPr>
              <w:pStyle w:val="2"/>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color w:val="auto"/>
                <w:sz w:val="21"/>
                <w:szCs w:val="21"/>
              </w:rPr>
            </w:pPr>
            <w:bookmarkStart w:id="5" w:name="OLE_LINK9"/>
            <w:r>
              <w:rPr>
                <w:rFonts w:hint="eastAsia"/>
                <w:color w:val="auto"/>
                <w:sz w:val="21"/>
                <w:szCs w:val="21"/>
                <w:lang w:val="en-US" w:eastAsia="zh-CN"/>
              </w:rPr>
              <w:t>B型（用于</w:t>
            </w:r>
            <w:r>
              <w:rPr>
                <w:rFonts w:hint="eastAsia"/>
                <w:color w:val="auto"/>
                <w:sz w:val="21"/>
                <w:szCs w:val="21"/>
              </w:rPr>
              <w:t>涂料等</w:t>
            </w:r>
            <w:r>
              <w:rPr>
                <w:rFonts w:hint="eastAsia"/>
                <w:color w:val="auto"/>
                <w:sz w:val="21"/>
                <w:szCs w:val="21"/>
                <w:lang w:eastAsia="zh-CN"/>
              </w:rPr>
              <w:t>领域</w:t>
            </w:r>
            <w:r>
              <w:rPr>
                <w:rFonts w:hint="eastAsia"/>
                <w:color w:val="auto"/>
                <w:sz w:val="21"/>
                <w:szCs w:val="21"/>
                <w:lang w:val="en-US" w:eastAsia="zh-CN"/>
              </w:rPr>
              <w:t>）</w:t>
            </w:r>
            <w:r>
              <w:rPr>
                <w:rFonts w:hint="eastAsia"/>
                <w:color w:val="auto"/>
                <w:sz w:val="21"/>
                <w:szCs w:val="21"/>
              </w:rPr>
              <w:t>:</w:t>
            </w:r>
            <w:bookmarkEnd w:id="5"/>
            <w:r>
              <w:rPr>
                <w:rFonts w:hint="eastAsia"/>
                <w:color w:val="auto"/>
                <w:sz w:val="21"/>
                <w:szCs w:val="21"/>
              </w:rPr>
              <w:t>≤1.5</w:t>
            </w:r>
          </w:p>
          <w:p>
            <w:pPr>
              <w:pStyle w:val="2"/>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ascii="Calibri" w:hAnsi="Calibri"/>
                <w:color w:val="auto"/>
                <w:sz w:val="21"/>
                <w:szCs w:val="21"/>
              </w:rPr>
            </w:pPr>
          </w:p>
        </w:tc>
        <w:tc>
          <w:tcPr>
            <w:tcW w:w="2719" w:type="dxa"/>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ascii="Calibri" w:hAnsi="Calibri"/>
                <w:sz w:val="21"/>
                <w:szCs w:val="21"/>
              </w:rPr>
            </w:pPr>
            <w:r>
              <w:rPr>
                <w:rFonts w:hint="eastAsia"/>
                <w:sz w:val="21"/>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85" w:type="dxa"/>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ascii="Calibri" w:hAnsi="Calibri"/>
                <w:sz w:val="21"/>
                <w:szCs w:val="21"/>
              </w:rPr>
            </w:pPr>
            <w:r>
              <w:rPr>
                <w:rFonts w:hint="eastAsia" w:ascii="Calibri" w:hAnsi="Calibri"/>
                <w:sz w:val="21"/>
                <w:szCs w:val="21"/>
              </w:rPr>
              <w:t>筛余物的质量分数</w:t>
            </w:r>
            <w:r>
              <w:rPr>
                <w:sz w:val="21"/>
                <w:szCs w:val="21"/>
              </w:rPr>
              <w:t>/%</w:t>
            </w:r>
          </w:p>
        </w:tc>
        <w:tc>
          <w:tcPr>
            <w:tcW w:w="2718" w:type="dxa"/>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color w:val="auto"/>
                <w:sz w:val="21"/>
                <w:szCs w:val="21"/>
              </w:rPr>
            </w:pPr>
            <w:r>
              <w:rPr>
                <w:rFonts w:hint="eastAsia"/>
                <w:color w:val="auto"/>
                <w:sz w:val="21"/>
                <w:szCs w:val="21"/>
              </w:rPr>
              <w:t>≤</w:t>
            </w:r>
            <w:r>
              <w:rPr>
                <w:color w:val="auto"/>
                <w:sz w:val="21"/>
                <w:szCs w:val="21"/>
              </w:rPr>
              <w:t>0.5（</w:t>
            </w:r>
            <w:r>
              <w:rPr>
                <w:rFonts w:hint="eastAsia"/>
                <w:color w:val="auto"/>
                <w:sz w:val="21"/>
                <w:szCs w:val="21"/>
                <w:lang w:val="en-US" w:eastAsia="zh-CN"/>
              </w:rPr>
              <w:t>63</w:t>
            </w:r>
            <w:r>
              <w:rPr>
                <w:color w:val="auto"/>
                <w:sz w:val="21"/>
                <w:szCs w:val="21"/>
              </w:rPr>
              <w:t xml:space="preserve"> μm</w:t>
            </w:r>
            <w:r>
              <w:rPr>
                <w:rFonts w:hint="eastAsia"/>
                <w:color w:val="auto"/>
                <w:sz w:val="21"/>
                <w:szCs w:val="21"/>
              </w:rPr>
              <w:t>孔径</w:t>
            </w:r>
            <w:r>
              <w:rPr>
                <w:color w:val="auto"/>
                <w:sz w:val="21"/>
                <w:szCs w:val="21"/>
              </w:rPr>
              <w:t>）</w:t>
            </w:r>
          </w:p>
        </w:tc>
        <w:tc>
          <w:tcPr>
            <w:tcW w:w="2719" w:type="dxa"/>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sz w:val="21"/>
                <w:szCs w:val="21"/>
              </w:rPr>
            </w:pPr>
            <w:r>
              <w:rPr>
                <w:rFonts w:hint="eastAsia"/>
                <w:sz w:val="21"/>
                <w:szCs w:val="21"/>
              </w:rPr>
              <w:t>≤</w:t>
            </w:r>
            <w:r>
              <w:rPr>
                <w:sz w:val="21"/>
                <w:szCs w:val="21"/>
              </w:rPr>
              <w:t>0.5</w:t>
            </w:r>
            <w:r>
              <w:rPr>
                <w:rFonts w:hint="eastAsia"/>
                <w:sz w:val="21"/>
                <w:szCs w:val="21"/>
              </w:rPr>
              <w:t xml:space="preserve">（63 </w:t>
            </w:r>
            <w:r>
              <w:rPr>
                <w:sz w:val="21"/>
                <w:szCs w:val="21"/>
              </w:rPr>
              <w:t>μm</w:t>
            </w:r>
            <w:r>
              <w:rPr>
                <w:rFonts w:hint="eastAsia"/>
                <w:sz w:val="21"/>
                <w:szCs w:val="21"/>
              </w:rPr>
              <w:t>孔径）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6" w:hRule="atLeast"/>
        </w:trPr>
        <w:tc>
          <w:tcPr>
            <w:tcW w:w="3085" w:type="dxa"/>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ascii="Calibri" w:hAnsi="Calibri"/>
                <w:sz w:val="21"/>
                <w:szCs w:val="21"/>
              </w:rPr>
            </w:pPr>
            <w:r>
              <w:rPr>
                <w:rFonts w:hint="eastAsia" w:ascii="Calibri" w:hAnsi="Calibri"/>
                <w:sz w:val="21"/>
                <w:szCs w:val="21"/>
              </w:rPr>
              <w:t>游离硫的质量分数</w:t>
            </w:r>
            <w:r>
              <w:rPr>
                <w:sz w:val="21"/>
                <w:szCs w:val="21"/>
              </w:rPr>
              <w:t>/%</w:t>
            </w:r>
          </w:p>
        </w:tc>
        <w:tc>
          <w:tcPr>
            <w:tcW w:w="2718" w:type="dxa"/>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color w:val="auto"/>
                <w:sz w:val="21"/>
                <w:szCs w:val="21"/>
              </w:rPr>
            </w:pPr>
            <w:r>
              <w:rPr>
                <w:rFonts w:hint="eastAsia"/>
                <w:color w:val="auto"/>
                <w:sz w:val="21"/>
                <w:szCs w:val="21"/>
                <w:lang w:val="en-US" w:eastAsia="zh-CN"/>
              </w:rPr>
              <w:t xml:space="preserve">        </w:t>
            </w:r>
            <w:r>
              <w:rPr>
                <w:rFonts w:hint="eastAsia"/>
                <w:color w:val="auto"/>
                <w:sz w:val="21"/>
                <w:szCs w:val="21"/>
              </w:rPr>
              <w:t xml:space="preserve"> ≤</w:t>
            </w:r>
            <w:r>
              <w:rPr>
                <w:color w:val="auto"/>
                <w:sz w:val="21"/>
                <w:szCs w:val="21"/>
              </w:rPr>
              <w:t>0.05</w:t>
            </w:r>
            <w:r>
              <w:rPr>
                <w:rFonts w:hint="eastAsia" w:ascii="Calibri" w:hAnsi="Calibri"/>
                <w:color w:val="auto"/>
                <w:sz w:val="21"/>
                <w:szCs w:val="21"/>
              </w:rPr>
              <w:t xml:space="preserve"> </w:t>
            </w:r>
          </w:p>
          <w:p>
            <w:pPr>
              <w:pStyle w:val="2"/>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ascii="Calibri" w:hAnsi="Calibri"/>
                <w:color w:val="auto"/>
                <w:sz w:val="21"/>
                <w:szCs w:val="21"/>
              </w:rPr>
            </w:pPr>
          </w:p>
        </w:tc>
        <w:tc>
          <w:tcPr>
            <w:tcW w:w="2719" w:type="dxa"/>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sz w:val="21"/>
                <w:szCs w:val="21"/>
              </w:rPr>
            </w:pPr>
            <w:r>
              <w:rPr>
                <w:rFonts w:hint="eastAsia"/>
                <w:sz w:val="21"/>
                <w:szCs w:val="21"/>
              </w:rPr>
              <w:t>Type A: ≤0.5</w:t>
            </w:r>
          </w:p>
          <w:p>
            <w:pPr>
              <w:pStyle w:val="2"/>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ascii="Calibri" w:hAnsi="Calibri"/>
                <w:sz w:val="21"/>
                <w:szCs w:val="21"/>
              </w:rPr>
            </w:pPr>
            <w:r>
              <w:rPr>
                <w:rFonts w:hint="eastAsia"/>
                <w:sz w:val="21"/>
                <w:szCs w:val="21"/>
              </w:rPr>
              <w:t>Type B: ≤0.1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85" w:type="dxa"/>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ascii="Calibri" w:hAnsi="Calibri"/>
                <w:sz w:val="21"/>
                <w:szCs w:val="21"/>
              </w:rPr>
            </w:pPr>
            <w:r>
              <w:rPr>
                <w:rFonts w:hint="eastAsia" w:ascii="Calibri" w:hAnsi="Calibri"/>
                <w:sz w:val="21"/>
                <w:szCs w:val="21"/>
              </w:rPr>
              <w:t>吸油量</w:t>
            </w:r>
          </w:p>
        </w:tc>
        <w:tc>
          <w:tcPr>
            <w:tcW w:w="2718" w:type="dxa"/>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ascii="Calibri" w:hAnsi="Calibri"/>
                <w:sz w:val="21"/>
                <w:szCs w:val="21"/>
              </w:rPr>
            </w:pPr>
            <w:r>
              <w:rPr>
                <w:rFonts w:hint="eastAsia" w:ascii="Calibri" w:hAnsi="Calibri"/>
                <w:sz w:val="21"/>
                <w:szCs w:val="21"/>
              </w:rPr>
              <w:t>商定</w:t>
            </w:r>
          </w:p>
        </w:tc>
        <w:tc>
          <w:tcPr>
            <w:tcW w:w="2719" w:type="dxa"/>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ascii="Calibri" w:hAnsi="Calibri"/>
                <w:sz w:val="21"/>
                <w:szCs w:val="21"/>
              </w:rPr>
            </w:pPr>
            <w:r>
              <w:rPr>
                <w:rFonts w:hint="eastAsia" w:ascii="Calibri" w:hAnsi="Calibri"/>
                <w:sz w:val="21"/>
                <w:szCs w:val="21"/>
              </w:rPr>
              <w:t>商定值±</w:t>
            </w:r>
            <w:r>
              <w:rPr>
                <w:sz w:val="21"/>
                <w:szCs w:val="21"/>
              </w:rPr>
              <w:t>10%</w:t>
            </w:r>
          </w:p>
        </w:tc>
      </w:tr>
      <w:bookmarkEnd w:id="6"/>
    </w:tbl>
    <w:p>
      <w:pPr>
        <w:pStyle w:val="2"/>
        <w:ind w:firstLine="480"/>
        <w:jc w:val="left"/>
        <w:rPr>
          <w:color w:val="auto"/>
        </w:rPr>
      </w:pPr>
      <w:r>
        <w:rPr>
          <w:rFonts w:hint="eastAsia"/>
        </w:rPr>
        <w:t>从表10可以看出，在本标准和国际标准ISO 788:1974中，105℃挥发物的质量分数的实验指标是相同的。原国际标准ISO 788:1974没有规定相对着色力的指标，本标准规定了群青的相对着色力（与标准样品比）的实验指标为100±5，更加明确的限定了其相对着色力的范围。在原国际标准ISO 788:1974中规定水溶物的质量分数≤1.5%，本标准按用途对群青进行了分类</w:t>
      </w:r>
      <w:r>
        <w:rPr>
          <w:rFonts w:hint="eastAsia"/>
          <w:color w:val="auto"/>
        </w:rPr>
        <w:t>，对不同类型的产品分别规定了水溶物的质量分数的实验指标。同时对游离硫的含量的限定也</w:t>
      </w:r>
      <w:r>
        <w:rPr>
          <w:rFonts w:hint="eastAsia"/>
          <w:color w:val="auto"/>
          <w:lang w:eastAsia="zh-CN"/>
        </w:rPr>
        <w:t>严</w:t>
      </w:r>
      <w:r>
        <w:rPr>
          <w:rFonts w:hint="eastAsia"/>
          <w:color w:val="auto"/>
        </w:rPr>
        <w:t>于原</w:t>
      </w:r>
      <w:r>
        <w:rPr>
          <w:rFonts w:hint="eastAsia"/>
          <w:color w:val="auto"/>
          <w:lang w:eastAsia="zh-CN"/>
        </w:rPr>
        <w:t>国际</w:t>
      </w:r>
      <w:r>
        <w:rPr>
          <w:rFonts w:hint="eastAsia"/>
          <w:color w:val="auto"/>
        </w:rPr>
        <w:t>标准ISO 788:1974的指标。以上实验指标的设定都分别高于原国际标准ISO 788:1974，更有利于提高群青颜料的产品质量，引导国内群青市场走上正轨，缩小与欧美市场的差距，提高民族企业在国际市场上的竞争力，更好地改善生态环境质量，保障人体健康。</w:t>
      </w:r>
    </w:p>
    <w:p>
      <w:pPr>
        <w:pStyle w:val="3"/>
      </w:pPr>
      <w:r>
        <w:t xml:space="preserve">5 </w:t>
      </w:r>
      <w:r>
        <w:rPr>
          <w:rFonts w:hint="eastAsia"/>
        </w:rPr>
        <w:t>与现行相关法律、法规、规章及相关标准的协调性</w:t>
      </w:r>
    </w:p>
    <w:p>
      <w:pPr>
        <w:pStyle w:val="2"/>
      </w:pPr>
      <w:r>
        <w:rPr>
          <w:rFonts w:ascii="宋体" w:hAnsi="宋体"/>
          <w:b/>
          <w:bCs/>
          <w:szCs w:val="21"/>
        </w:rPr>
        <w:t xml:space="preserve">   </w:t>
      </w:r>
      <w:r>
        <w:t xml:space="preserve"> </w:t>
      </w:r>
      <w:r>
        <w:rPr>
          <w:rFonts w:hint="eastAsia"/>
        </w:rPr>
        <w:t>本标准符合现行法律、法规和规章的要求，与其它相关标准之间不存在矛盾之处。本次标准的制定会进一步推动群青颜料行业的规范与成熟，为行业的健康发展提供必要的依据。</w:t>
      </w:r>
    </w:p>
    <w:p>
      <w:pPr>
        <w:pStyle w:val="3"/>
      </w:pPr>
      <w:r>
        <w:t xml:space="preserve">6 </w:t>
      </w:r>
      <w:r>
        <w:rPr>
          <w:rFonts w:hint="eastAsia"/>
        </w:rPr>
        <w:t>重大分歧意见的处理经过和依据</w:t>
      </w:r>
    </w:p>
    <w:p>
      <w:pPr>
        <w:pStyle w:val="2"/>
      </w:pPr>
      <w:r>
        <w:rPr>
          <w:rFonts w:ascii="宋体" w:hAnsi="宋体"/>
          <w:b/>
          <w:szCs w:val="21"/>
        </w:rPr>
        <w:t xml:space="preserve">  </w:t>
      </w:r>
      <w:r>
        <w:t xml:space="preserve">  </w:t>
      </w:r>
      <w:r>
        <w:rPr>
          <w:rFonts w:hint="eastAsia"/>
        </w:rPr>
        <w:t>无</w:t>
      </w:r>
    </w:p>
    <w:p>
      <w:pPr>
        <w:pStyle w:val="3"/>
      </w:pPr>
      <w:r>
        <w:t xml:space="preserve">7 </w:t>
      </w:r>
      <w:r>
        <w:rPr>
          <w:rFonts w:hint="eastAsia"/>
        </w:rPr>
        <w:t>标准性质的建议说明</w:t>
      </w:r>
    </w:p>
    <w:p>
      <w:pPr>
        <w:pStyle w:val="2"/>
      </w:pPr>
      <w:r>
        <w:rPr>
          <w:rFonts w:ascii="宋体" w:hAnsi="宋体"/>
          <w:b/>
          <w:bCs/>
          <w:szCs w:val="21"/>
        </w:rPr>
        <w:t xml:space="preserve">  </w:t>
      </w:r>
      <w:r>
        <w:t xml:space="preserve">  </w:t>
      </w:r>
      <w:r>
        <w:rPr>
          <w:rFonts w:hint="eastAsia"/>
        </w:rPr>
        <w:t>目前，群青在我国还没有统一的国家标准和行业标准，各企业的企业标准水平良莠不齐，为了引导国内群青市场走上正轨，提高民族企业在国际市场的竞争力，建议将本标准作为国家推荐性标准。</w:t>
      </w:r>
    </w:p>
    <w:p>
      <w:pPr>
        <w:pStyle w:val="3"/>
      </w:pPr>
      <w:r>
        <w:t xml:space="preserve">8 </w:t>
      </w:r>
      <w:r>
        <w:rPr>
          <w:rFonts w:hint="eastAsia"/>
        </w:rPr>
        <w:t>贯彻标准的要求和措施建议</w:t>
      </w:r>
    </w:p>
    <w:p>
      <w:pPr>
        <w:pStyle w:val="2"/>
      </w:pPr>
      <w:r>
        <w:t xml:space="preserve">    </w:t>
      </w:r>
      <w:r>
        <w:rPr>
          <w:rFonts w:hint="eastAsia"/>
        </w:rPr>
        <w:t>在本标准通过审核、批准发布之后，为了贯彻实施本国家推荐性标准，建议开展本国家推荐性标准应用技术的培训工作。建议本标准自发布</w:t>
      </w:r>
      <w:r>
        <w:t>6</w:t>
      </w:r>
      <w:r>
        <w:rPr>
          <w:rFonts w:hint="eastAsia"/>
        </w:rPr>
        <w:t>个月之后开始实施。</w:t>
      </w:r>
    </w:p>
    <w:p>
      <w:pPr>
        <w:pStyle w:val="3"/>
      </w:pPr>
      <w:r>
        <w:t xml:space="preserve">9 </w:t>
      </w:r>
      <w:r>
        <w:rPr>
          <w:rFonts w:hint="eastAsia"/>
        </w:rPr>
        <w:t>废止现行有关标准的建议</w:t>
      </w:r>
    </w:p>
    <w:p>
      <w:pPr>
        <w:pStyle w:val="2"/>
        <w:ind w:firstLine="480" w:firstLineChars="200"/>
      </w:pPr>
      <w:r>
        <w:rPr>
          <w:rFonts w:hint="eastAsia"/>
        </w:rPr>
        <w:t>本标准为首次制定的标准项目，不涉及标准废止的建议。</w:t>
      </w:r>
    </w:p>
    <w:p>
      <w:pPr>
        <w:pStyle w:val="3"/>
      </w:pPr>
      <w:r>
        <w:rPr>
          <w:rFonts w:hint="eastAsia"/>
        </w:rPr>
        <w:t>10 其他应予说明的事项</w:t>
      </w:r>
    </w:p>
    <w:p>
      <w:pPr>
        <w:pStyle w:val="2"/>
        <w:ind w:firstLine="480" w:firstLineChars="200"/>
      </w:pPr>
      <w:r>
        <w:rPr>
          <w:rFonts w:hint="eastAsia"/>
        </w:rPr>
        <w:t>无</w:t>
      </w:r>
      <w:r>
        <w:rPr>
          <w:rFonts w:hint="eastAsia"/>
          <w:lang w:eastAsia="zh-CN"/>
        </w:rPr>
        <w:t>。</w:t>
      </w:r>
    </w:p>
    <w:sectPr>
      <w:headerReference r:id="rId3" w:type="default"/>
      <w:pgSz w:w="11906" w:h="16838"/>
      <w:pgMar w:top="1440" w:right="1797" w:bottom="1440" w:left="179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Batang">
    <w:panose1 w:val="02030600000101010101"/>
    <w:charset w:val="81"/>
    <w:family w:val="auto"/>
    <w:pitch w:val="default"/>
    <w:sig w:usb0="B00002AF" w:usb1="69D77CFB" w:usb2="00000030" w:usb3="00000000" w:csb0="4008009F" w:csb1="DFD70000"/>
  </w:font>
  <w:font w:name="方正兰亭超细黑简体">
    <w:panose1 w:val="02000000000000000000"/>
    <w:charset w:val="86"/>
    <w:family w:val="auto"/>
    <w:pitch w:val="default"/>
    <w:sig w:usb0="00000001" w:usb1="0800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叶根友毛笔行书2.0版">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DFKai-SB">
    <w:panose1 w:val="03000509000000000000"/>
    <w:charset w:val="88"/>
    <w:family w:val="auto"/>
    <w:pitch w:val="default"/>
    <w:sig w:usb0="00000003" w:usb1="082E0000" w:usb2="00000016" w:usb3="00000000" w:csb0="00100001" w:csb1="00000000"/>
  </w:font>
  <w:font w:name="BatangChe">
    <w:panose1 w:val="02030609000101010101"/>
    <w:charset w:val="81"/>
    <w:family w:val="auto"/>
    <w:pitch w:val="default"/>
    <w:sig w:usb0="B00002AF" w:usb1="69D77CFB" w:usb2="00000030" w:usb3="00000000" w:csb0="4008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top w:val="none" w:color="auto" w:sz="0" w:space="0"/>
        <w:left w:val="none" w:color="auto" w:sz="0" w:space="0"/>
        <w:bottom w:val="none" w:color="auto" w:sz="0" w:space="0"/>
        <w:right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91163"/>
    <w:multiLevelType w:val="multilevel"/>
    <w:tmpl w:val="1FC91163"/>
    <w:lvl w:ilvl="0" w:tentative="0">
      <w:start w:val="1"/>
      <w:numFmt w:val="decimal"/>
      <w:pStyle w:val="25"/>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4"/>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6"/>
      <w:suff w:val="nothing"/>
      <w:lvlText w:val="%1.%2.%3　"/>
      <w:lvlJc w:val="left"/>
      <w:pPr>
        <w:ind w:left="0" w:firstLine="0"/>
      </w:pPr>
      <w:rPr>
        <w:rFonts w:hint="eastAsia" w:ascii="黑体" w:hAnsi="Times New Roman" w:eastAsia="黑体"/>
        <w:b w:val="0"/>
        <w:i w:val="0"/>
        <w:sz w:val="21"/>
      </w:rPr>
    </w:lvl>
    <w:lvl w:ilvl="3" w:tentative="0">
      <w:start w:val="1"/>
      <w:numFmt w:val="decimal"/>
      <w:pStyle w:val="27"/>
      <w:suff w:val="nothing"/>
      <w:lvlText w:val="%1.%2.%3.%4　"/>
      <w:lvlJc w:val="left"/>
      <w:pPr>
        <w:ind w:left="0" w:firstLine="0"/>
      </w:pPr>
      <w:rPr>
        <w:rFonts w:hint="eastAsia" w:ascii="黑体" w:hAnsi="Times New Roman" w:eastAsia="黑体"/>
        <w:b w:val="0"/>
        <w:i w:val="0"/>
        <w:sz w:val="21"/>
      </w:rPr>
    </w:lvl>
    <w:lvl w:ilvl="4" w:tentative="0">
      <w:start w:val="1"/>
      <w:numFmt w:val="decimal"/>
      <w:pStyle w:val="28"/>
      <w:suff w:val="nothing"/>
      <w:lvlText w:val="%1.%2.%3.%4.%5　"/>
      <w:lvlJc w:val="left"/>
      <w:pPr>
        <w:ind w:left="0" w:firstLine="0"/>
      </w:pPr>
      <w:rPr>
        <w:rFonts w:hint="eastAsia" w:ascii="黑体" w:hAnsi="Times New Roman" w:eastAsia="黑体"/>
        <w:b w:val="0"/>
        <w:i w:val="0"/>
        <w:sz w:val="21"/>
      </w:rPr>
    </w:lvl>
    <w:lvl w:ilvl="5" w:tentative="0">
      <w:start w:val="1"/>
      <w:numFmt w:val="decimal"/>
      <w:pStyle w:val="29"/>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3347B0"/>
    <w:rsid w:val="0000476A"/>
    <w:rsid w:val="000070D9"/>
    <w:rsid w:val="000104DE"/>
    <w:rsid w:val="00011C27"/>
    <w:rsid w:val="000223AB"/>
    <w:rsid w:val="000653C2"/>
    <w:rsid w:val="000E2BC4"/>
    <w:rsid w:val="000E6CD3"/>
    <w:rsid w:val="000E6E23"/>
    <w:rsid w:val="00102B3A"/>
    <w:rsid w:val="001219AF"/>
    <w:rsid w:val="00122408"/>
    <w:rsid w:val="001242D3"/>
    <w:rsid w:val="001371D3"/>
    <w:rsid w:val="00141234"/>
    <w:rsid w:val="00145716"/>
    <w:rsid w:val="001562C5"/>
    <w:rsid w:val="00160B41"/>
    <w:rsid w:val="00165720"/>
    <w:rsid w:val="001715E4"/>
    <w:rsid w:val="001869DE"/>
    <w:rsid w:val="001A1388"/>
    <w:rsid w:val="001B0B06"/>
    <w:rsid w:val="001B67F3"/>
    <w:rsid w:val="00203021"/>
    <w:rsid w:val="00211FB0"/>
    <w:rsid w:val="00233F11"/>
    <w:rsid w:val="00251733"/>
    <w:rsid w:val="00264567"/>
    <w:rsid w:val="00291205"/>
    <w:rsid w:val="002A7AEC"/>
    <w:rsid w:val="002B1020"/>
    <w:rsid w:val="002B2973"/>
    <w:rsid w:val="002B34A6"/>
    <w:rsid w:val="002D6FAA"/>
    <w:rsid w:val="002F2372"/>
    <w:rsid w:val="003033B1"/>
    <w:rsid w:val="00313F1B"/>
    <w:rsid w:val="0032039C"/>
    <w:rsid w:val="00326AAA"/>
    <w:rsid w:val="00351259"/>
    <w:rsid w:val="00355011"/>
    <w:rsid w:val="003726B0"/>
    <w:rsid w:val="00375F4E"/>
    <w:rsid w:val="00380BEB"/>
    <w:rsid w:val="00393395"/>
    <w:rsid w:val="003D2E22"/>
    <w:rsid w:val="003E178E"/>
    <w:rsid w:val="003E4596"/>
    <w:rsid w:val="003F598A"/>
    <w:rsid w:val="003F6860"/>
    <w:rsid w:val="00400BCC"/>
    <w:rsid w:val="004060F0"/>
    <w:rsid w:val="0041161A"/>
    <w:rsid w:val="004207CD"/>
    <w:rsid w:val="00421C9B"/>
    <w:rsid w:val="004340AC"/>
    <w:rsid w:val="004555A8"/>
    <w:rsid w:val="00455D2F"/>
    <w:rsid w:val="0046165C"/>
    <w:rsid w:val="00461AF1"/>
    <w:rsid w:val="00471C33"/>
    <w:rsid w:val="00485108"/>
    <w:rsid w:val="00485DC1"/>
    <w:rsid w:val="00496050"/>
    <w:rsid w:val="004B09E0"/>
    <w:rsid w:val="004C0ADD"/>
    <w:rsid w:val="004D21CF"/>
    <w:rsid w:val="004D399C"/>
    <w:rsid w:val="004D7431"/>
    <w:rsid w:val="004E3A64"/>
    <w:rsid w:val="004F6B01"/>
    <w:rsid w:val="0050792F"/>
    <w:rsid w:val="005225D6"/>
    <w:rsid w:val="00552563"/>
    <w:rsid w:val="00561CD4"/>
    <w:rsid w:val="00562980"/>
    <w:rsid w:val="00562AF2"/>
    <w:rsid w:val="00591B3F"/>
    <w:rsid w:val="005A5BCD"/>
    <w:rsid w:val="005E0FF2"/>
    <w:rsid w:val="005F2319"/>
    <w:rsid w:val="005F36B2"/>
    <w:rsid w:val="005F3E35"/>
    <w:rsid w:val="00631C59"/>
    <w:rsid w:val="006366D7"/>
    <w:rsid w:val="00645D55"/>
    <w:rsid w:val="006510F4"/>
    <w:rsid w:val="00687DAD"/>
    <w:rsid w:val="006921DF"/>
    <w:rsid w:val="006A07E7"/>
    <w:rsid w:val="006B3E8B"/>
    <w:rsid w:val="006C3FFA"/>
    <w:rsid w:val="006C662F"/>
    <w:rsid w:val="006F74FE"/>
    <w:rsid w:val="00700B57"/>
    <w:rsid w:val="00736B2E"/>
    <w:rsid w:val="00740728"/>
    <w:rsid w:val="00752613"/>
    <w:rsid w:val="00761441"/>
    <w:rsid w:val="007636B6"/>
    <w:rsid w:val="0077115A"/>
    <w:rsid w:val="007A4065"/>
    <w:rsid w:val="007B7C98"/>
    <w:rsid w:val="007B7D5D"/>
    <w:rsid w:val="007C0C9C"/>
    <w:rsid w:val="007C77D7"/>
    <w:rsid w:val="007E0834"/>
    <w:rsid w:val="008261D3"/>
    <w:rsid w:val="00826BFF"/>
    <w:rsid w:val="00830497"/>
    <w:rsid w:val="00844002"/>
    <w:rsid w:val="008508B5"/>
    <w:rsid w:val="0085299B"/>
    <w:rsid w:val="008766CE"/>
    <w:rsid w:val="00882ABA"/>
    <w:rsid w:val="0088543D"/>
    <w:rsid w:val="00885537"/>
    <w:rsid w:val="00896B28"/>
    <w:rsid w:val="008A5999"/>
    <w:rsid w:val="008B2125"/>
    <w:rsid w:val="009108DA"/>
    <w:rsid w:val="0091304C"/>
    <w:rsid w:val="00924C2A"/>
    <w:rsid w:val="00927F2B"/>
    <w:rsid w:val="00934F6E"/>
    <w:rsid w:val="0096173C"/>
    <w:rsid w:val="009664EE"/>
    <w:rsid w:val="00971F83"/>
    <w:rsid w:val="0097322A"/>
    <w:rsid w:val="009847C3"/>
    <w:rsid w:val="009B346E"/>
    <w:rsid w:val="009B7239"/>
    <w:rsid w:val="009D3D91"/>
    <w:rsid w:val="009E05C9"/>
    <w:rsid w:val="00A01637"/>
    <w:rsid w:val="00A46E1B"/>
    <w:rsid w:val="00A51ACE"/>
    <w:rsid w:val="00A546EB"/>
    <w:rsid w:val="00A55AB2"/>
    <w:rsid w:val="00A63D5A"/>
    <w:rsid w:val="00A8532C"/>
    <w:rsid w:val="00A9214C"/>
    <w:rsid w:val="00AB1FD4"/>
    <w:rsid w:val="00AD4566"/>
    <w:rsid w:val="00B05621"/>
    <w:rsid w:val="00B07512"/>
    <w:rsid w:val="00B20FF8"/>
    <w:rsid w:val="00B22DF6"/>
    <w:rsid w:val="00B304D5"/>
    <w:rsid w:val="00B37A32"/>
    <w:rsid w:val="00B437A9"/>
    <w:rsid w:val="00B5225D"/>
    <w:rsid w:val="00B625F6"/>
    <w:rsid w:val="00B87A8F"/>
    <w:rsid w:val="00B9195A"/>
    <w:rsid w:val="00B94976"/>
    <w:rsid w:val="00BA06E0"/>
    <w:rsid w:val="00BB2FD9"/>
    <w:rsid w:val="00BC060A"/>
    <w:rsid w:val="00BC5A94"/>
    <w:rsid w:val="00BD18F7"/>
    <w:rsid w:val="00C06B42"/>
    <w:rsid w:val="00C252F7"/>
    <w:rsid w:val="00C43AEB"/>
    <w:rsid w:val="00C63CDD"/>
    <w:rsid w:val="00CB0716"/>
    <w:rsid w:val="00CD0860"/>
    <w:rsid w:val="00CE13FA"/>
    <w:rsid w:val="00CE2866"/>
    <w:rsid w:val="00CF1199"/>
    <w:rsid w:val="00CF5C5C"/>
    <w:rsid w:val="00CF6193"/>
    <w:rsid w:val="00D05676"/>
    <w:rsid w:val="00D06EBC"/>
    <w:rsid w:val="00D20EDD"/>
    <w:rsid w:val="00D273A7"/>
    <w:rsid w:val="00D3431C"/>
    <w:rsid w:val="00D46E72"/>
    <w:rsid w:val="00D478D1"/>
    <w:rsid w:val="00D53291"/>
    <w:rsid w:val="00D6197E"/>
    <w:rsid w:val="00D71C7A"/>
    <w:rsid w:val="00D868E4"/>
    <w:rsid w:val="00D96943"/>
    <w:rsid w:val="00DA699E"/>
    <w:rsid w:val="00DB7CC3"/>
    <w:rsid w:val="00DD2F6D"/>
    <w:rsid w:val="00DE620C"/>
    <w:rsid w:val="00E00C5B"/>
    <w:rsid w:val="00E07369"/>
    <w:rsid w:val="00E10EE0"/>
    <w:rsid w:val="00E169B3"/>
    <w:rsid w:val="00E530DB"/>
    <w:rsid w:val="00E702D4"/>
    <w:rsid w:val="00E751E2"/>
    <w:rsid w:val="00E8596C"/>
    <w:rsid w:val="00E971B6"/>
    <w:rsid w:val="00EB19B6"/>
    <w:rsid w:val="00EB1F32"/>
    <w:rsid w:val="00EC6B5F"/>
    <w:rsid w:val="00F07953"/>
    <w:rsid w:val="00F151D9"/>
    <w:rsid w:val="00F24BA3"/>
    <w:rsid w:val="00F42555"/>
    <w:rsid w:val="00F55458"/>
    <w:rsid w:val="00F60AA5"/>
    <w:rsid w:val="00F64106"/>
    <w:rsid w:val="00F738C6"/>
    <w:rsid w:val="00F8493C"/>
    <w:rsid w:val="00F9047F"/>
    <w:rsid w:val="00FA005D"/>
    <w:rsid w:val="00FA42B8"/>
    <w:rsid w:val="00FA4B95"/>
    <w:rsid w:val="00FB16CC"/>
    <w:rsid w:val="00FC28C6"/>
    <w:rsid w:val="00FC6D2C"/>
    <w:rsid w:val="00FD02C5"/>
    <w:rsid w:val="00FD10FD"/>
    <w:rsid w:val="00FD6042"/>
    <w:rsid w:val="00FF1E08"/>
    <w:rsid w:val="00FF4A3C"/>
    <w:rsid w:val="00FF4C8E"/>
    <w:rsid w:val="02632F44"/>
    <w:rsid w:val="03291696"/>
    <w:rsid w:val="03D47F04"/>
    <w:rsid w:val="04AE6AF2"/>
    <w:rsid w:val="052A122F"/>
    <w:rsid w:val="06A21CD7"/>
    <w:rsid w:val="071C1818"/>
    <w:rsid w:val="075F5DD6"/>
    <w:rsid w:val="08044641"/>
    <w:rsid w:val="080A63D2"/>
    <w:rsid w:val="0839310E"/>
    <w:rsid w:val="085539D7"/>
    <w:rsid w:val="09D83343"/>
    <w:rsid w:val="0B8F0B7D"/>
    <w:rsid w:val="0E035F19"/>
    <w:rsid w:val="0FE878C6"/>
    <w:rsid w:val="10C30882"/>
    <w:rsid w:val="127E6C0A"/>
    <w:rsid w:val="12F16E01"/>
    <w:rsid w:val="12F22682"/>
    <w:rsid w:val="13CE7CD4"/>
    <w:rsid w:val="14BC1217"/>
    <w:rsid w:val="14C8670A"/>
    <w:rsid w:val="15995365"/>
    <w:rsid w:val="159A3348"/>
    <w:rsid w:val="15D47A17"/>
    <w:rsid w:val="162209A7"/>
    <w:rsid w:val="1815286D"/>
    <w:rsid w:val="1935435F"/>
    <w:rsid w:val="1972695F"/>
    <w:rsid w:val="19EB315A"/>
    <w:rsid w:val="1C1F6279"/>
    <w:rsid w:val="1DDA7AE4"/>
    <w:rsid w:val="1EB932EE"/>
    <w:rsid w:val="1F305528"/>
    <w:rsid w:val="200E2ECB"/>
    <w:rsid w:val="206F0A8E"/>
    <w:rsid w:val="239B4237"/>
    <w:rsid w:val="24D353A0"/>
    <w:rsid w:val="24D541A6"/>
    <w:rsid w:val="266F44D9"/>
    <w:rsid w:val="2B071DA9"/>
    <w:rsid w:val="2BB20E87"/>
    <w:rsid w:val="2D2E55E2"/>
    <w:rsid w:val="2E7769EC"/>
    <w:rsid w:val="301C6647"/>
    <w:rsid w:val="313347B0"/>
    <w:rsid w:val="314F6F8F"/>
    <w:rsid w:val="320B1A90"/>
    <w:rsid w:val="334333C8"/>
    <w:rsid w:val="344E6D0F"/>
    <w:rsid w:val="3475028C"/>
    <w:rsid w:val="34A24D4D"/>
    <w:rsid w:val="353F43C0"/>
    <w:rsid w:val="374B0B6E"/>
    <w:rsid w:val="38D3747F"/>
    <w:rsid w:val="38D632AB"/>
    <w:rsid w:val="39E230A5"/>
    <w:rsid w:val="3A967CA7"/>
    <w:rsid w:val="3AC93ED4"/>
    <w:rsid w:val="3CB578E9"/>
    <w:rsid w:val="3D6A4F06"/>
    <w:rsid w:val="3D910D70"/>
    <w:rsid w:val="3E222385"/>
    <w:rsid w:val="3FB6080A"/>
    <w:rsid w:val="40DB0D1A"/>
    <w:rsid w:val="412A035F"/>
    <w:rsid w:val="434C3A90"/>
    <w:rsid w:val="43C214B2"/>
    <w:rsid w:val="44DD7FCF"/>
    <w:rsid w:val="45895342"/>
    <w:rsid w:val="47854FBD"/>
    <w:rsid w:val="47DA1C77"/>
    <w:rsid w:val="4809165E"/>
    <w:rsid w:val="491E66B7"/>
    <w:rsid w:val="4B146A0B"/>
    <w:rsid w:val="4B2169D4"/>
    <w:rsid w:val="4B5833BB"/>
    <w:rsid w:val="4C5C793C"/>
    <w:rsid w:val="4CCE3211"/>
    <w:rsid w:val="4E1140DD"/>
    <w:rsid w:val="52850E65"/>
    <w:rsid w:val="52DB102C"/>
    <w:rsid w:val="53E61F17"/>
    <w:rsid w:val="53EE5E9C"/>
    <w:rsid w:val="545D061F"/>
    <w:rsid w:val="570C45F7"/>
    <w:rsid w:val="581F1F23"/>
    <w:rsid w:val="5A9C3DCE"/>
    <w:rsid w:val="5B1D609A"/>
    <w:rsid w:val="5B816585"/>
    <w:rsid w:val="5BCC03E2"/>
    <w:rsid w:val="5C26578E"/>
    <w:rsid w:val="5C3A6F04"/>
    <w:rsid w:val="5C7656E2"/>
    <w:rsid w:val="5D7A3B24"/>
    <w:rsid w:val="5EFA13EA"/>
    <w:rsid w:val="5F1242EC"/>
    <w:rsid w:val="62177A9E"/>
    <w:rsid w:val="634A41C9"/>
    <w:rsid w:val="636E399F"/>
    <w:rsid w:val="63826941"/>
    <w:rsid w:val="63E07918"/>
    <w:rsid w:val="675863D1"/>
    <w:rsid w:val="68013706"/>
    <w:rsid w:val="69260BC4"/>
    <w:rsid w:val="69B1373D"/>
    <w:rsid w:val="6AC12017"/>
    <w:rsid w:val="6BD5479D"/>
    <w:rsid w:val="6CA164DD"/>
    <w:rsid w:val="6DFA0C02"/>
    <w:rsid w:val="6E3F599A"/>
    <w:rsid w:val="6E4038AF"/>
    <w:rsid w:val="6ED276EE"/>
    <w:rsid w:val="711F2B9F"/>
    <w:rsid w:val="717436A6"/>
    <w:rsid w:val="72464231"/>
    <w:rsid w:val="72691890"/>
    <w:rsid w:val="7354273B"/>
    <w:rsid w:val="73DB49C2"/>
    <w:rsid w:val="75B9325F"/>
    <w:rsid w:val="75F17A87"/>
    <w:rsid w:val="76371C21"/>
    <w:rsid w:val="76D95652"/>
    <w:rsid w:val="7C055B90"/>
    <w:rsid w:val="7D233C55"/>
    <w:rsid w:val="7D6C428D"/>
    <w:rsid w:val="7EA434A6"/>
    <w:rsid w:val="7FAA6E2C"/>
    <w:rsid w:val="7FF7219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iPriority="1" w:semiHidden="0"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qFormat="1" w:unhideWhenUsed="0" w:uiPriority="99" w:semiHidden="0"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qFormat="1" w:unhideWhenUsed="0" w:uiPriority="99" w:semiHidden="0" w:name="HTML Preformatted"/>
    <w:lsdException w:uiPriority="99" w:name="HTML Sample" w:locked="1"/>
    <w:lsdException w:uiPriority="99" w:name="HTML Typewriter" w:locked="1"/>
    <w:lsdException w:uiPriority="99" w:name="HTML Variable" w:locked="1"/>
    <w:lsdException w:qFormat="1" w:uiPriority="99" w:semiHidden="0"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qFormat="1" w:unhideWhenUsed="0" w:uiPriority="5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3">
    <w:name w:val="heading 1"/>
    <w:basedOn w:val="1"/>
    <w:next w:val="1"/>
    <w:link w:val="14"/>
    <w:qFormat/>
    <w:uiPriority w:val="99"/>
    <w:pPr>
      <w:keepNext/>
      <w:keepLines/>
      <w:jc w:val="left"/>
      <w:outlineLvl w:val="0"/>
    </w:pPr>
    <w:rPr>
      <w:rFonts w:ascii="Arial" w:hAnsi="Arial"/>
      <w:b/>
      <w:kern w:val="44"/>
      <w:sz w:val="28"/>
    </w:rPr>
  </w:style>
  <w:style w:type="paragraph" w:styleId="4">
    <w:name w:val="heading 2"/>
    <w:basedOn w:val="1"/>
    <w:next w:val="1"/>
    <w:link w:val="15"/>
    <w:qFormat/>
    <w:uiPriority w:val="99"/>
    <w:pPr>
      <w:keepNext/>
      <w:keepLines/>
      <w:outlineLvl w:val="1"/>
    </w:pPr>
    <w:rPr>
      <w:rFonts w:ascii="Arial" w:hAnsi="Arial"/>
      <w:b/>
      <w:kern w:val="0"/>
      <w:sz w:val="28"/>
      <w:szCs w:val="20"/>
    </w:rPr>
  </w:style>
  <w:style w:type="paragraph" w:styleId="5">
    <w:name w:val="heading 3"/>
    <w:basedOn w:val="1"/>
    <w:next w:val="1"/>
    <w:link w:val="16"/>
    <w:qFormat/>
    <w:uiPriority w:val="99"/>
    <w:pPr>
      <w:keepNext/>
      <w:keepLines/>
      <w:outlineLvl w:val="2"/>
    </w:pPr>
    <w:rPr>
      <w:rFonts w:ascii="Arial" w:hAnsi="Arial"/>
      <w:b/>
      <w:kern w:val="0"/>
      <w:szCs w:val="20"/>
    </w:rPr>
  </w:style>
  <w:style w:type="character" w:default="1" w:styleId="11">
    <w:name w:val="Default Paragraph Font"/>
    <w:unhideWhenUsed/>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17"/>
    <w:qFormat/>
    <w:uiPriority w:val="99"/>
  </w:style>
  <w:style w:type="paragraph" w:styleId="6">
    <w:name w:val="Date"/>
    <w:basedOn w:val="1"/>
    <w:next w:val="1"/>
    <w:link w:val="18"/>
    <w:qFormat/>
    <w:uiPriority w:val="99"/>
    <w:pPr>
      <w:ind w:left="100" w:leftChars="2500"/>
    </w:pPr>
  </w:style>
  <w:style w:type="paragraph" w:styleId="7">
    <w:name w:val="footer"/>
    <w:basedOn w:val="1"/>
    <w:link w:val="19"/>
    <w:qFormat/>
    <w:uiPriority w:val="99"/>
    <w:pPr>
      <w:tabs>
        <w:tab w:val="center" w:pos="4153"/>
        <w:tab w:val="right" w:pos="8306"/>
      </w:tabs>
      <w:snapToGrid w:val="0"/>
      <w:jc w:val="left"/>
    </w:pPr>
    <w:rPr>
      <w:sz w:val="18"/>
    </w:rPr>
  </w:style>
  <w:style w:type="paragraph" w:styleId="8">
    <w:name w:val="header"/>
    <w:basedOn w:val="1"/>
    <w:link w:val="20"/>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9">
    <w:name w:val="HTML Preformatted"/>
    <w:basedOn w:val="1"/>
    <w:link w:val="21"/>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rPr>
  </w:style>
  <w:style w:type="paragraph" w:styleId="10">
    <w:name w:val="Normal (Web)"/>
    <w:basedOn w:val="1"/>
    <w:qFormat/>
    <w:uiPriority w:val="99"/>
  </w:style>
  <w:style w:type="table" w:styleId="13">
    <w:name w:val="Table Grid"/>
    <w:basedOn w:val="12"/>
    <w:qFormat/>
    <w:uiPriority w:val="5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4">
    <w:name w:val="标题 1 Char"/>
    <w:basedOn w:val="11"/>
    <w:link w:val="3"/>
    <w:qFormat/>
    <w:locked/>
    <w:uiPriority w:val="99"/>
    <w:rPr>
      <w:rFonts w:cs="Times New Roman"/>
      <w:b/>
      <w:bCs/>
      <w:kern w:val="44"/>
      <w:sz w:val="44"/>
      <w:szCs w:val="44"/>
    </w:rPr>
  </w:style>
  <w:style w:type="character" w:customStyle="1" w:styleId="15">
    <w:name w:val="标题 2 Char"/>
    <w:basedOn w:val="11"/>
    <w:link w:val="4"/>
    <w:qFormat/>
    <w:locked/>
    <w:uiPriority w:val="99"/>
    <w:rPr>
      <w:rFonts w:ascii="Arial" w:hAnsi="Arial" w:eastAsia="宋体" w:cs="Times New Roman"/>
      <w:b/>
      <w:sz w:val="28"/>
    </w:rPr>
  </w:style>
  <w:style w:type="character" w:customStyle="1" w:styleId="16">
    <w:name w:val="标题 3 Char"/>
    <w:basedOn w:val="11"/>
    <w:link w:val="5"/>
    <w:qFormat/>
    <w:locked/>
    <w:uiPriority w:val="99"/>
    <w:rPr>
      <w:rFonts w:ascii="Arial" w:hAnsi="Arial" w:eastAsia="宋体" w:cs="Times New Roman"/>
      <w:b/>
      <w:sz w:val="24"/>
    </w:rPr>
  </w:style>
  <w:style w:type="character" w:customStyle="1" w:styleId="17">
    <w:name w:val="正文文本 Char"/>
    <w:basedOn w:val="11"/>
    <w:link w:val="2"/>
    <w:semiHidden/>
    <w:qFormat/>
    <w:locked/>
    <w:uiPriority w:val="99"/>
    <w:rPr>
      <w:rFonts w:cs="Times New Roman"/>
      <w:sz w:val="24"/>
      <w:szCs w:val="24"/>
    </w:rPr>
  </w:style>
  <w:style w:type="character" w:customStyle="1" w:styleId="18">
    <w:name w:val="日期 Char"/>
    <w:basedOn w:val="11"/>
    <w:link w:val="6"/>
    <w:semiHidden/>
    <w:qFormat/>
    <w:locked/>
    <w:uiPriority w:val="99"/>
    <w:rPr>
      <w:rFonts w:cs="Times New Roman"/>
      <w:sz w:val="24"/>
      <w:szCs w:val="24"/>
    </w:rPr>
  </w:style>
  <w:style w:type="character" w:customStyle="1" w:styleId="19">
    <w:name w:val="页脚 Char"/>
    <w:basedOn w:val="11"/>
    <w:link w:val="7"/>
    <w:semiHidden/>
    <w:qFormat/>
    <w:locked/>
    <w:uiPriority w:val="99"/>
    <w:rPr>
      <w:rFonts w:cs="Times New Roman"/>
      <w:sz w:val="18"/>
      <w:szCs w:val="18"/>
    </w:rPr>
  </w:style>
  <w:style w:type="character" w:customStyle="1" w:styleId="20">
    <w:name w:val="页眉 Char"/>
    <w:basedOn w:val="11"/>
    <w:link w:val="8"/>
    <w:semiHidden/>
    <w:qFormat/>
    <w:locked/>
    <w:uiPriority w:val="99"/>
    <w:rPr>
      <w:rFonts w:cs="Times New Roman"/>
      <w:sz w:val="18"/>
      <w:szCs w:val="18"/>
    </w:rPr>
  </w:style>
  <w:style w:type="character" w:customStyle="1" w:styleId="21">
    <w:name w:val="HTML 预设格式 Char"/>
    <w:basedOn w:val="11"/>
    <w:link w:val="9"/>
    <w:semiHidden/>
    <w:locked/>
    <w:uiPriority w:val="99"/>
    <w:rPr>
      <w:rFonts w:ascii="Courier New" w:hAnsi="Courier New" w:cs="Courier New"/>
      <w:sz w:val="20"/>
      <w:szCs w:val="20"/>
    </w:rPr>
  </w:style>
  <w:style w:type="paragraph" w:customStyle="1" w:styleId="22">
    <w:name w:val="段"/>
    <w:link w:val="23"/>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 w:type="character" w:customStyle="1" w:styleId="23">
    <w:name w:val="段 Char"/>
    <w:basedOn w:val="11"/>
    <w:link w:val="22"/>
    <w:qFormat/>
    <w:uiPriority w:val="0"/>
    <w:rPr>
      <w:rFonts w:ascii="宋体" w:hAnsi="Calibri"/>
      <w:sz w:val="21"/>
      <w:szCs w:val="22"/>
      <w:lang w:val="en-US" w:eastAsia="zh-CN" w:bidi="ar-SA"/>
    </w:rPr>
  </w:style>
  <w:style w:type="paragraph" w:customStyle="1" w:styleId="24">
    <w:name w:val="一级条标题"/>
    <w:next w:val="22"/>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25">
    <w:name w:val="章标题"/>
    <w:next w:val="22"/>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26">
    <w:name w:val="二级条标题"/>
    <w:basedOn w:val="24"/>
    <w:next w:val="22"/>
    <w:qFormat/>
    <w:uiPriority w:val="0"/>
    <w:pPr>
      <w:numPr>
        <w:ilvl w:val="2"/>
      </w:numPr>
      <w:spacing w:before="50" w:after="50"/>
      <w:outlineLvl w:val="3"/>
    </w:pPr>
  </w:style>
  <w:style w:type="paragraph" w:customStyle="1" w:styleId="27">
    <w:name w:val="三级条标题"/>
    <w:basedOn w:val="26"/>
    <w:next w:val="22"/>
    <w:qFormat/>
    <w:uiPriority w:val="0"/>
    <w:pPr>
      <w:numPr>
        <w:ilvl w:val="3"/>
      </w:numPr>
      <w:outlineLvl w:val="4"/>
    </w:pPr>
  </w:style>
  <w:style w:type="paragraph" w:customStyle="1" w:styleId="28">
    <w:name w:val="四级条标题"/>
    <w:basedOn w:val="27"/>
    <w:next w:val="22"/>
    <w:qFormat/>
    <w:uiPriority w:val="0"/>
    <w:pPr>
      <w:numPr>
        <w:ilvl w:val="4"/>
      </w:numPr>
      <w:outlineLvl w:val="5"/>
    </w:pPr>
  </w:style>
  <w:style w:type="paragraph" w:customStyle="1" w:styleId="29">
    <w:name w:val="五级条标题"/>
    <w:basedOn w:val="28"/>
    <w:next w:val="22"/>
    <w:qFormat/>
    <w:uiPriority w:val="0"/>
    <w:pPr>
      <w:numPr>
        <w:ilvl w:val="5"/>
      </w:numPr>
      <w:outlineLvl w:val="6"/>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9146F3-BA48-43F5-ADCB-551FEEC9E2F8}">
  <ds:schemaRefs/>
</ds:datastoreItem>
</file>

<file path=docProps/app.xml><?xml version="1.0" encoding="utf-8"?>
<Properties xmlns="http://schemas.openxmlformats.org/officeDocument/2006/extended-properties" xmlns:vt="http://schemas.openxmlformats.org/officeDocument/2006/docPropsVTypes">
  <Template>Normal</Template>
  <Pages>17</Pages>
  <Words>1871</Words>
  <Characters>10666</Characters>
  <Lines>88</Lines>
  <Paragraphs>25</Paragraphs>
  <ScaleCrop>false</ScaleCrop>
  <LinksUpToDate>false</LinksUpToDate>
  <CharactersWithSpaces>12512</CharactersWithSpaces>
  <Application>WPS Office_10.1.0.6490_F1E327BC-269C-435d-A152-05C5408002CA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2017-06-03T01:16:00Z</dcterms:created>
  <dc:creator>Administrator</dc:creator>
  <cp:lastModifiedBy>Administrator</cp:lastModifiedBy>
  <cp:lastPrinted>2017-06-13T04:13:00Z</cp:lastPrinted>
  <dcterms:modified xsi:type="dcterms:W3CDTF">2017-06-13T04:57:52Z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